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1"/>
        <w:gridCol w:w="1701"/>
        <w:gridCol w:w="4111"/>
      </w:tblGrid>
      <w:tr w:rsidR="00F93504" w:rsidRPr="00860A61" w14:paraId="13004A14" w14:textId="77777777" w:rsidTr="005B3831">
        <w:trPr>
          <w:trHeight w:val="835"/>
          <w:jc w:val="center"/>
        </w:trPr>
        <w:tc>
          <w:tcPr>
            <w:tcW w:w="2841" w:type="dxa"/>
            <w:tcBorders>
              <w:right w:val="nil"/>
            </w:tcBorders>
          </w:tcPr>
          <w:p w14:paraId="470CAD49" w14:textId="77777777" w:rsidR="00F93504" w:rsidRPr="00860A61" w:rsidRDefault="00F93504">
            <w:pPr>
              <w:pStyle w:val="Heading1"/>
              <w:jc w:val="both"/>
              <w:rPr>
                <w:rFonts w:asciiTheme="minorHAnsi" w:hAnsiTheme="minorHAnsi" w:cs="Arial"/>
                <w:i/>
                <w:color w:val="FF0000"/>
                <w:sz w:val="22"/>
                <w:szCs w:val="22"/>
              </w:rPr>
            </w:pPr>
          </w:p>
        </w:tc>
        <w:tc>
          <w:tcPr>
            <w:tcW w:w="5812" w:type="dxa"/>
            <w:gridSpan w:val="2"/>
            <w:tcBorders>
              <w:left w:val="nil"/>
            </w:tcBorders>
          </w:tcPr>
          <w:p w14:paraId="4C60A202" w14:textId="77777777" w:rsidR="00F93504" w:rsidRPr="00860A61" w:rsidRDefault="00F93504">
            <w:pPr>
              <w:pStyle w:val="Heading4"/>
              <w:jc w:val="both"/>
              <w:rPr>
                <w:rFonts w:asciiTheme="minorHAnsi" w:hAnsiTheme="minorHAnsi" w:cs="Arial"/>
                <w:i/>
                <w:sz w:val="22"/>
                <w:szCs w:val="22"/>
              </w:rPr>
            </w:pPr>
          </w:p>
          <w:p w14:paraId="3234146C" w14:textId="77777777" w:rsidR="00E0575E" w:rsidRPr="005B3831" w:rsidRDefault="008D226E" w:rsidP="00E0575E">
            <w:pPr>
              <w:rPr>
                <w:rFonts w:asciiTheme="minorHAnsi" w:hAnsiTheme="minorHAnsi" w:cs="Microsoft Sans Serif"/>
                <w:b/>
                <w:bCs/>
                <w:color w:val="0000FF"/>
                <w:sz w:val="32"/>
                <w:szCs w:val="32"/>
              </w:rPr>
            </w:pPr>
            <w:r w:rsidRPr="005B3831">
              <w:rPr>
                <w:rFonts w:asciiTheme="minorHAnsi" w:hAnsiTheme="minorHAnsi" w:cs="Microsoft Sans Serif"/>
                <w:b/>
                <w:bCs/>
                <w:color w:val="0000FF"/>
                <w:sz w:val="32"/>
                <w:szCs w:val="32"/>
              </w:rPr>
              <w:t>KEILOR PRIVATE</w:t>
            </w:r>
          </w:p>
        </w:tc>
      </w:tr>
      <w:tr w:rsidR="003E186B" w:rsidRPr="00860A61" w14:paraId="58220CDC" w14:textId="77777777" w:rsidTr="005B3831">
        <w:trPr>
          <w:trHeight w:val="322"/>
          <w:jc w:val="center"/>
        </w:trPr>
        <w:tc>
          <w:tcPr>
            <w:tcW w:w="2841" w:type="dxa"/>
          </w:tcPr>
          <w:p w14:paraId="0D26A8C0" w14:textId="77777777" w:rsidR="003E186B" w:rsidRPr="005B3831" w:rsidRDefault="003E186B">
            <w:pPr>
              <w:pStyle w:val="Heading1"/>
              <w:jc w:val="both"/>
              <w:rPr>
                <w:rFonts w:asciiTheme="minorHAnsi" w:hAnsiTheme="minorHAnsi" w:cs="Arial"/>
                <w:szCs w:val="24"/>
              </w:rPr>
            </w:pPr>
            <w:r w:rsidRPr="005B3831">
              <w:rPr>
                <w:rFonts w:asciiTheme="minorHAnsi" w:hAnsiTheme="minorHAnsi" w:cs="Arial"/>
                <w:szCs w:val="24"/>
              </w:rPr>
              <w:t>MANUAL:</w:t>
            </w:r>
          </w:p>
        </w:tc>
        <w:tc>
          <w:tcPr>
            <w:tcW w:w="5812" w:type="dxa"/>
            <w:gridSpan w:val="2"/>
          </w:tcPr>
          <w:p w14:paraId="1F248C2B" w14:textId="77777777" w:rsidR="003E186B" w:rsidRPr="005B3831" w:rsidRDefault="003E186B">
            <w:pPr>
              <w:pStyle w:val="Heading1"/>
              <w:jc w:val="center"/>
              <w:rPr>
                <w:rFonts w:asciiTheme="minorHAnsi" w:hAnsiTheme="minorHAnsi" w:cs="Arial"/>
                <w:b w:val="0"/>
                <w:bCs/>
                <w:szCs w:val="24"/>
              </w:rPr>
            </w:pPr>
            <w:r w:rsidRPr="005B3831">
              <w:rPr>
                <w:rFonts w:asciiTheme="minorHAnsi" w:hAnsiTheme="minorHAnsi" w:cs="Arial"/>
                <w:b w:val="0"/>
                <w:bCs/>
                <w:szCs w:val="24"/>
              </w:rPr>
              <w:t>ORGANISATIONAL MANUAL</w:t>
            </w:r>
          </w:p>
        </w:tc>
      </w:tr>
      <w:tr w:rsidR="00F93504" w:rsidRPr="00860A61" w14:paraId="391AF8EC" w14:textId="77777777" w:rsidTr="005B3831">
        <w:trPr>
          <w:trHeight w:val="322"/>
          <w:jc w:val="center"/>
        </w:trPr>
        <w:tc>
          <w:tcPr>
            <w:tcW w:w="2841" w:type="dxa"/>
          </w:tcPr>
          <w:p w14:paraId="2D543974" w14:textId="77777777" w:rsidR="00F93504" w:rsidRPr="005B3831" w:rsidRDefault="009067EA">
            <w:pPr>
              <w:pStyle w:val="Heading1"/>
              <w:jc w:val="both"/>
              <w:rPr>
                <w:rFonts w:asciiTheme="minorHAnsi" w:hAnsiTheme="minorHAnsi" w:cs="Arial"/>
                <w:szCs w:val="24"/>
              </w:rPr>
            </w:pPr>
            <w:r w:rsidRPr="005B3831">
              <w:rPr>
                <w:rFonts w:asciiTheme="minorHAnsi" w:hAnsiTheme="minorHAnsi" w:cs="Arial"/>
                <w:szCs w:val="24"/>
              </w:rPr>
              <w:t>SECTION:</w:t>
            </w:r>
          </w:p>
        </w:tc>
        <w:tc>
          <w:tcPr>
            <w:tcW w:w="5812" w:type="dxa"/>
            <w:gridSpan w:val="2"/>
          </w:tcPr>
          <w:p w14:paraId="132CCF57" w14:textId="77777777" w:rsidR="00F93504" w:rsidRPr="005B3831" w:rsidRDefault="003E186B">
            <w:pPr>
              <w:pStyle w:val="Heading1"/>
              <w:jc w:val="center"/>
              <w:rPr>
                <w:rFonts w:asciiTheme="minorHAnsi" w:hAnsiTheme="minorHAnsi" w:cs="Arial"/>
                <w:b w:val="0"/>
                <w:bCs/>
                <w:szCs w:val="24"/>
              </w:rPr>
            </w:pPr>
            <w:r w:rsidRPr="005B3831">
              <w:rPr>
                <w:rFonts w:asciiTheme="minorHAnsi" w:hAnsiTheme="minorHAnsi" w:cs="Arial"/>
                <w:b w:val="0"/>
                <w:bCs/>
                <w:szCs w:val="24"/>
              </w:rPr>
              <w:t>CORPORATE</w:t>
            </w:r>
          </w:p>
        </w:tc>
      </w:tr>
      <w:tr w:rsidR="00F93504" w:rsidRPr="00860A61" w14:paraId="61C04BEF" w14:textId="77777777" w:rsidTr="005B3831">
        <w:trPr>
          <w:cantSplit/>
          <w:trHeight w:val="322"/>
          <w:jc w:val="center"/>
        </w:trPr>
        <w:tc>
          <w:tcPr>
            <w:tcW w:w="2841" w:type="dxa"/>
          </w:tcPr>
          <w:p w14:paraId="5ACC580A" w14:textId="77777777" w:rsidR="00F93504" w:rsidRPr="005B3831" w:rsidRDefault="009067EA">
            <w:pPr>
              <w:pStyle w:val="Heading1"/>
              <w:jc w:val="both"/>
              <w:rPr>
                <w:rFonts w:asciiTheme="minorHAnsi" w:hAnsiTheme="minorHAnsi" w:cs="Arial"/>
                <w:szCs w:val="24"/>
              </w:rPr>
            </w:pPr>
            <w:r w:rsidRPr="005B3831">
              <w:rPr>
                <w:rFonts w:asciiTheme="minorHAnsi" w:hAnsiTheme="minorHAnsi" w:cs="Arial"/>
                <w:szCs w:val="24"/>
              </w:rPr>
              <w:t>TITLE:</w:t>
            </w:r>
          </w:p>
        </w:tc>
        <w:tc>
          <w:tcPr>
            <w:tcW w:w="5812" w:type="dxa"/>
            <w:gridSpan w:val="2"/>
          </w:tcPr>
          <w:p w14:paraId="6C5A5D75" w14:textId="77777777" w:rsidR="00F93504" w:rsidRPr="005B3831" w:rsidRDefault="000661F4">
            <w:pPr>
              <w:pStyle w:val="Heading1"/>
              <w:jc w:val="center"/>
              <w:rPr>
                <w:rFonts w:asciiTheme="minorHAnsi" w:hAnsiTheme="minorHAnsi" w:cs="Arial"/>
                <w:b w:val="0"/>
                <w:bCs/>
                <w:iCs/>
                <w:szCs w:val="24"/>
              </w:rPr>
            </w:pPr>
            <w:r w:rsidRPr="005B3831">
              <w:rPr>
                <w:rFonts w:asciiTheme="minorHAnsi" w:hAnsiTheme="minorHAnsi" w:cs="Arial"/>
                <w:b w:val="0"/>
                <w:bCs/>
                <w:iCs/>
                <w:szCs w:val="24"/>
              </w:rPr>
              <w:t>Q</w:t>
            </w:r>
            <w:r w:rsidR="00AA0386" w:rsidRPr="005B3831">
              <w:rPr>
                <w:rFonts w:asciiTheme="minorHAnsi" w:hAnsiTheme="minorHAnsi" w:cs="Arial"/>
                <w:b w:val="0"/>
                <w:bCs/>
                <w:iCs/>
                <w:szCs w:val="24"/>
              </w:rPr>
              <w:t>UALITY POLICY</w:t>
            </w:r>
          </w:p>
        </w:tc>
      </w:tr>
      <w:tr w:rsidR="00F93504" w:rsidRPr="00860A61" w14:paraId="318BF04E" w14:textId="77777777" w:rsidTr="005B3831">
        <w:trPr>
          <w:cantSplit/>
          <w:trHeight w:val="270"/>
          <w:jc w:val="center"/>
        </w:trPr>
        <w:tc>
          <w:tcPr>
            <w:tcW w:w="4542" w:type="dxa"/>
            <w:gridSpan w:val="2"/>
            <w:tcBorders>
              <w:top w:val="single" w:sz="4" w:space="0" w:color="auto"/>
              <w:bottom w:val="single" w:sz="4" w:space="0" w:color="auto"/>
            </w:tcBorders>
          </w:tcPr>
          <w:p w14:paraId="292E0889" w14:textId="77777777" w:rsidR="00F93504" w:rsidRPr="005B3831" w:rsidRDefault="009067EA">
            <w:pPr>
              <w:jc w:val="both"/>
              <w:rPr>
                <w:rFonts w:asciiTheme="minorHAnsi" w:hAnsiTheme="minorHAnsi" w:cs="Arial"/>
                <w:sz w:val="24"/>
                <w:szCs w:val="24"/>
              </w:rPr>
            </w:pPr>
            <w:r w:rsidRPr="005B3831">
              <w:rPr>
                <w:rFonts w:asciiTheme="minorHAnsi" w:hAnsiTheme="minorHAnsi" w:cs="Arial"/>
                <w:b/>
                <w:sz w:val="24"/>
                <w:szCs w:val="24"/>
              </w:rPr>
              <w:t xml:space="preserve">Policy Number:  </w:t>
            </w:r>
            <w:r w:rsidR="003E186B" w:rsidRPr="005B3831">
              <w:rPr>
                <w:rFonts w:asciiTheme="minorHAnsi" w:hAnsiTheme="minorHAnsi" w:cs="Arial"/>
                <w:sz w:val="24"/>
                <w:szCs w:val="24"/>
              </w:rPr>
              <w:t>OM-C</w:t>
            </w:r>
            <w:r w:rsidR="00080167" w:rsidRPr="005B3831">
              <w:rPr>
                <w:rFonts w:asciiTheme="minorHAnsi" w:hAnsiTheme="minorHAnsi" w:cs="Arial"/>
                <w:sz w:val="24"/>
                <w:szCs w:val="24"/>
              </w:rPr>
              <w:t>O</w:t>
            </w:r>
            <w:r w:rsidR="003E186B" w:rsidRPr="005B3831">
              <w:rPr>
                <w:rFonts w:asciiTheme="minorHAnsi" w:hAnsiTheme="minorHAnsi" w:cs="Arial"/>
                <w:sz w:val="24"/>
                <w:szCs w:val="24"/>
              </w:rPr>
              <w:t>-000</w:t>
            </w:r>
            <w:r w:rsidR="005B2DDA" w:rsidRPr="005B3831">
              <w:rPr>
                <w:rFonts w:asciiTheme="minorHAnsi" w:hAnsiTheme="minorHAnsi" w:cs="Arial"/>
                <w:sz w:val="24"/>
                <w:szCs w:val="24"/>
              </w:rPr>
              <w:t>6</w:t>
            </w:r>
          </w:p>
        </w:tc>
        <w:tc>
          <w:tcPr>
            <w:tcW w:w="4111" w:type="dxa"/>
            <w:tcBorders>
              <w:top w:val="single" w:sz="4" w:space="0" w:color="auto"/>
              <w:bottom w:val="single" w:sz="4" w:space="0" w:color="auto"/>
            </w:tcBorders>
          </w:tcPr>
          <w:p w14:paraId="660A3B25" w14:textId="35866A71" w:rsidR="00F93504" w:rsidRPr="005B3831" w:rsidRDefault="009067EA" w:rsidP="00805135">
            <w:pPr>
              <w:pStyle w:val="Heading5"/>
              <w:jc w:val="both"/>
              <w:rPr>
                <w:rFonts w:asciiTheme="minorHAnsi" w:hAnsiTheme="minorHAnsi" w:cs="Arial"/>
                <w:color w:val="FF0000"/>
                <w:sz w:val="24"/>
                <w:szCs w:val="24"/>
              </w:rPr>
            </w:pPr>
            <w:r w:rsidRPr="005B3831">
              <w:rPr>
                <w:rFonts w:asciiTheme="minorHAnsi" w:hAnsiTheme="minorHAnsi" w:cs="Arial"/>
                <w:sz w:val="24"/>
                <w:szCs w:val="24"/>
              </w:rPr>
              <w:t xml:space="preserve">Version </w:t>
            </w:r>
            <w:r w:rsidR="00C21718" w:rsidRPr="005B3831">
              <w:rPr>
                <w:rFonts w:asciiTheme="minorHAnsi" w:hAnsiTheme="minorHAnsi" w:cs="Arial"/>
                <w:sz w:val="24"/>
                <w:szCs w:val="24"/>
              </w:rPr>
              <w:t xml:space="preserve">No </w:t>
            </w:r>
            <w:r w:rsidR="00F56752">
              <w:rPr>
                <w:rFonts w:asciiTheme="minorHAnsi" w:hAnsiTheme="minorHAnsi" w:cs="Arial"/>
                <w:sz w:val="24"/>
                <w:szCs w:val="24"/>
              </w:rPr>
              <w:t>9</w:t>
            </w:r>
          </w:p>
        </w:tc>
      </w:tr>
      <w:tr w:rsidR="00F93504" w:rsidRPr="00860A61" w14:paraId="3495CCD8" w14:textId="77777777" w:rsidTr="005B3831">
        <w:trPr>
          <w:cantSplit/>
          <w:trHeight w:val="270"/>
          <w:jc w:val="center"/>
        </w:trPr>
        <w:tc>
          <w:tcPr>
            <w:tcW w:w="4542" w:type="dxa"/>
            <w:gridSpan w:val="2"/>
            <w:tcBorders>
              <w:top w:val="single" w:sz="4" w:space="0" w:color="auto"/>
            </w:tcBorders>
          </w:tcPr>
          <w:p w14:paraId="608EAF75" w14:textId="00AE5156" w:rsidR="00F93504" w:rsidRPr="005B3831" w:rsidRDefault="00B54874" w:rsidP="00805135">
            <w:pPr>
              <w:jc w:val="both"/>
              <w:rPr>
                <w:rFonts w:asciiTheme="minorHAnsi" w:hAnsiTheme="minorHAnsi" w:cs="Arial"/>
                <w:b/>
                <w:sz w:val="24"/>
                <w:szCs w:val="24"/>
              </w:rPr>
            </w:pPr>
            <w:r w:rsidRPr="005B3831">
              <w:rPr>
                <w:rFonts w:asciiTheme="minorHAnsi" w:hAnsiTheme="minorHAnsi" w:cs="Arial"/>
                <w:b/>
                <w:sz w:val="24"/>
                <w:szCs w:val="24"/>
              </w:rPr>
              <w:t xml:space="preserve">Effective Date:  </w:t>
            </w:r>
            <w:r w:rsidR="009067EA" w:rsidRPr="005B3831">
              <w:rPr>
                <w:rFonts w:asciiTheme="minorHAnsi" w:hAnsiTheme="minorHAnsi" w:cs="Arial"/>
                <w:b/>
                <w:sz w:val="24"/>
                <w:szCs w:val="24"/>
              </w:rPr>
              <w:t xml:space="preserve"> </w:t>
            </w:r>
            <w:r w:rsidR="00A0413B" w:rsidRPr="005B3831">
              <w:rPr>
                <w:rFonts w:asciiTheme="minorHAnsi" w:hAnsiTheme="minorHAnsi" w:cs="Arial"/>
                <w:sz w:val="24"/>
                <w:szCs w:val="24"/>
              </w:rPr>
              <w:t>February 2025</w:t>
            </w:r>
          </w:p>
        </w:tc>
        <w:tc>
          <w:tcPr>
            <w:tcW w:w="4111" w:type="dxa"/>
            <w:tcBorders>
              <w:top w:val="single" w:sz="4" w:space="0" w:color="auto"/>
            </w:tcBorders>
          </w:tcPr>
          <w:p w14:paraId="5CEE1483" w14:textId="3A731361" w:rsidR="00F93504" w:rsidRPr="005B3831" w:rsidRDefault="00B54874" w:rsidP="00805135">
            <w:pPr>
              <w:jc w:val="both"/>
              <w:rPr>
                <w:rFonts w:asciiTheme="minorHAnsi" w:hAnsiTheme="minorHAnsi" w:cs="Arial"/>
                <w:b/>
                <w:sz w:val="24"/>
                <w:szCs w:val="24"/>
              </w:rPr>
            </w:pPr>
            <w:r w:rsidRPr="005B3831">
              <w:rPr>
                <w:rFonts w:asciiTheme="minorHAnsi" w:hAnsiTheme="minorHAnsi" w:cs="Arial"/>
                <w:b/>
                <w:sz w:val="24"/>
                <w:szCs w:val="24"/>
              </w:rPr>
              <w:t xml:space="preserve">Date of next Review: </w:t>
            </w:r>
            <w:r w:rsidR="00A0413B" w:rsidRPr="005B3831">
              <w:rPr>
                <w:rFonts w:asciiTheme="minorHAnsi" w:hAnsiTheme="minorHAnsi" w:cs="Arial"/>
                <w:sz w:val="24"/>
                <w:szCs w:val="24"/>
              </w:rPr>
              <w:t>February 2028</w:t>
            </w:r>
          </w:p>
        </w:tc>
      </w:tr>
    </w:tbl>
    <w:p w14:paraId="71E0397B" w14:textId="77777777" w:rsidR="00F93504" w:rsidRPr="00860A61" w:rsidRDefault="00F93504">
      <w:pPr>
        <w:jc w:val="both"/>
        <w:rPr>
          <w:rFonts w:asciiTheme="minorHAnsi" w:hAnsiTheme="minorHAnsi" w:cs="Arial"/>
          <w:sz w:val="22"/>
          <w:szCs w:val="22"/>
        </w:rPr>
      </w:pPr>
    </w:p>
    <w:p w14:paraId="420A1AAB" w14:textId="6BBB407C" w:rsidR="00AA0386" w:rsidRPr="005B3831" w:rsidRDefault="009067EA" w:rsidP="000A762A">
      <w:pPr>
        <w:jc w:val="both"/>
        <w:rPr>
          <w:rFonts w:asciiTheme="minorHAnsi" w:hAnsiTheme="minorHAnsi" w:cs="Arial"/>
          <w:b/>
          <w:sz w:val="24"/>
          <w:szCs w:val="24"/>
        </w:rPr>
      </w:pPr>
      <w:r w:rsidRPr="005B3831">
        <w:rPr>
          <w:rFonts w:asciiTheme="minorHAnsi" w:hAnsiTheme="minorHAnsi" w:cs="Arial"/>
          <w:b/>
          <w:bCs/>
          <w:sz w:val="24"/>
          <w:szCs w:val="24"/>
        </w:rPr>
        <w:t>Aim</w:t>
      </w:r>
      <w:r w:rsidR="000A762A" w:rsidRPr="005B3831">
        <w:rPr>
          <w:rFonts w:asciiTheme="minorHAnsi" w:hAnsiTheme="minorHAnsi" w:cs="Arial"/>
          <w:b/>
          <w:sz w:val="24"/>
          <w:szCs w:val="24"/>
        </w:rPr>
        <w:t xml:space="preserve"> </w:t>
      </w:r>
    </w:p>
    <w:p w14:paraId="18ADFD0C" w14:textId="3A40B1C5" w:rsidR="000A762A" w:rsidRPr="00860A61" w:rsidRDefault="00A0413B" w:rsidP="00AA0386">
      <w:pPr>
        <w:rPr>
          <w:rFonts w:asciiTheme="minorHAnsi" w:hAnsiTheme="minorHAnsi" w:cs="Arial"/>
          <w:sz w:val="22"/>
          <w:szCs w:val="22"/>
        </w:rPr>
      </w:pPr>
      <w:r>
        <w:rPr>
          <w:rFonts w:asciiTheme="minorHAnsi" w:hAnsiTheme="minorHAnsi" w:cs="Arial"/>
          <w:sz w:val="22"/>
          <w:szCs w:val="22"/>
        </w:rPr>
        <w:t>Keilor Private Hospital is committed to continuous quality improvement in all aspects of patient care, service delivery, and organisational operations. This policy establishes our commitment to achieving excellence in clinical and corporate governance, regulatory compliance, and consumer engagement while maintaining high standards of patient safety, satisfaction, and operational efficiency.</w:t>
      </w:r>
    </w:p>
    <w:p w14:paraId="65D1708D" w14:textId="77777777" w:rsidR="00F93504" w:rsidRPr="00860A61" w:rsidRDefault="009067EA" w:rsidP="000776F0">
      <w:pPr>
        <w:ind w:left="709" w:hanging="709"/>
        <w:jc w:val="both"/>
        <w:rPr>
          <w:rFonts w:asciiTheme="minorHAnsi" w:hAnsiTheme="minorHAnsi" w:cs="Arial"/>
          <w:sz w:val="22"/>
          <w:szCs w:val="22"/>
        </w:rPr>
      </w:pPr>
      <w:r w:rsidRPr="00860A61">
        <w:rPr>
          <w:rFonts w:asciiTheme="minorHAnsi" w:hAnsiTheme="minorHAnsi" w:cs="Arial"/>
          <w:sz w:val="22"/>
          <w:szCs w:val="22"/>
        </w:rPr>
        <w:tab/>
      </w:r>
    </w:p>
    <w:p w14:paraId="2ED7BE18" w14:textId="5EF09C72" w:rsidR="00AA0386" w:rsidRPr="005B3831" w:rsidRDefault="009067EA" w:rsidP="001C3332">
      <w:pPr>
        <w:ind w:left="1134" w:hanging="1134"/>
        <w:jc w:val="both"/>
        <w:rPr>
          <w:rFonts w:asciiTheme="minorHAnsi" w:hAnsiTheme="minorHAnsi" w:cs="Arial"/>
          <w:b/>
          <w:bCs/>
          <w:sz w:val="24"/>
          <w:szCs w:val="24"/>
        </w:rPr>
      </w:pPr>
      <w:r w:rsidRPr="005B3831">
        <w:rPr>
          <w:rFonts w:asciiTheme="minorHAnsi" w:hAnsiTheme="minorHAnsi" w:cs="Arial"/>
          <w:b/>
          <w:bCs/>
          <w:sz w:val="24"/>
          <w:szCs w:val="24"/>
        </w:rPr>
        <w:t>Scope</w:t>
      </w:r>
      <w:r w:rsidR="00E36A34" w:rsidRPr="005B3831">
        <w:rPr>
          <w:rFonts w:asciiTheme="minorHAnsi" w:hAnsiTheme="minorHAnsi" w:cs="Arial"/>
          <w:b/>
          <w:bCs/>
          <w:sz w:val="24"/>
          <w:szCs w:val="24"/>
        </w:rPr>
        <w:tab/>
      </w:r>
      <w:r w:rsidR="00E36A34" w:rsidRPr="005B3831">
        <w:rPr>
          <w:rFonts w:asciiTheme="minorHAnsi" w:hAnsiTheme="minorHAnsi" w:cs="Arial"/>
          <w:b/>
          <w:bCs/>
          <w:sz w:val="24"/>
          <w:szCs w:val="24"/>
        </w:rPr>
        <w:tab/>
      </w:r>
    </w:p>
    <w:p w14:paraId="542307C1" w14:textId="77777777" w:rsidR="00AF1D6D" w:rsidRDefault="00AF1D6D" w:rsidP="00860A61">
      <w:pPr>
        <w:rPr>
          <w:rFonts w:asciiTheme="minorHAnsi" w:hAnsiTheme="minorHAnsi" w:cs="Arial"/>
          <w:sz w:val="22"/>
          <w:szCs w:val="22"/>
        </w:rPr>
      </w:pPr>
    </w:p>
    <w:p w14:paraId="02DEEA83" w14:textId="0D175BA2" w:rsidR="00A0413B" w:rsidRDefault="000661F4" w:rsidP="00860A61">
      <w:pPr>
        <w:rPr>
          <w:rFonts w:asciiTheme="minorHAnsi" w:hAnsiTheme="minorHAnsi" w:cs="Arial"/>
          <w:sz w:val="22"/>
          <w:szCs w:val="22"/>
        </w:rPr>
      </w:pPr>
      <w:r w:rsidRPr="00860A61">
        <w:rPr>
          <w:rFonts w:asciiTheme="minorHAnsi" w:hAnsiTheme="minorHAnsi" w:cs="Arial"/>
          <w:sz w:val="22"/>
          <w:szCs w:val="22"/>
        </w:rPr>
        <w:t xml:space="preserve">This </w:t>
      </w:r>
      <w:r w:rsidR="00860A61" w:rsidRPr="00860A61">
        <w:rPr>
          <w:rFonts w:asciiTheme="minorHAnsi" w:hAnsiTheme="minorHAnsi" w:cs="Arial"/>
          <w:sz w:val="22"/>
          <w:szCs w:val="22"/>
        </w:rPr>
        <w:t>p</w:t>
      </w:r>
      <w:r w:rsidRPr="00860A61">
        <w:rPr>
          <w:rFonts w:asciiTheme="minorHAnsi" w:hAnsiTheme="minorHAnsi" w:cs="Arial"/>
          <w:sz w:val="22"/>
          <w:szCs w:val="22"/>
        </w:rPr>
        <w:t xml:space="preserve">olicy </w:t>
      </w:r>
      <w:r w:rsidR="00A0413B">
        <w:rPr>
          <w:rFonts w:asciiTheme="minorHAnsi" w:hAnsiTheme="minorHAnsi" w:cs="Arial"/>
          <w:sz w:val="22"/>
          <w:szCs w:val="22"/>
        </w:rPr>
        <w:t xml:space="preserve">applies to </w:t>
      </w:r>
    </w:p>
    <w:p w14:paraId="2CF860FC" w14:textId="77777777" w:rsidR="00AF1D6D" w:rsidRDefault="00AF1D6D" w:rsidP="00860A61">
      <w:pPr>
        <w:rPr>
          <w:rFonts w:asciiTheme="minorHAnsi" w:hAnsiTheme="minorHAnsi" w:cs="Arial"/>
          <w:sz w:val="22"/>
          <w:szCs w:val="22"/>
        </w:rPr>
      </w:pPr>
    </w:p>
    <w:p w14:paraId="58F40BB6" w14:textId="0B9EDE02" w:rsidR="007E0875" w:rsidRPr="005B3831" w:rsidRDefault="00A0413B" w:rsidP="005B3831">
      <w:pPr>
        <w:pStyle w:val="ListParagraph"/>
        <w:numPr>
          <w:ilvl w:val="0"/>
          <w:numId w:val="23"/>
        </w:numPr>
        <w:rPr>
          <w:rFonts w:asciiTheme="minorHAnsi" w:hAnsiTheme="minorHAnsi" w:cs="Arial"/>
          <w:sz w:val="22"/>
          <w:szCs w:val="22"/>
        </w:rPr>
      </w:pPr>
      <w:r>
        <w:rPr>
          <w:rFonts w:asciiTheme="minorHAnsi" w:hAnsiTheme="minorHAnsi" w:cs="Arial"/>
          <w:sz w:val="22"/>
          <w:szCs w:val="22"/>
        </w:rPr>
        <w:t>A</w:t>
      </w:r>
      <w:r w:rsidR="00414A58" w:rsidRPr="005B3831">
        <w:rPr>
          <w:rFonts w:asciiTheme="minorHAnsi" w:hAnsiTheme="minorHAnsi" w:cs="Arial"/>
          <w:sz w:val="22"/>
          <w:szCs w:val="22"/>
        </w:rPr>
        <w:t xml:space="preserve">ll </w:t>
      </w:r>
      <w:r w:rsidR="00860A61" w:rsidRPr="005B3831">
        <w:rPr>
          <w:rFonts w:asciiTheme="minorHAnsi" w:hAnsiTheme="minorHAnsi" w:cs="Arial"/>
          <w:sz w:val="22"/>
          <w:szCs w:val="22"/>
        </w:rPr>
        <w:t>Keilor Private staff, V</w:t>
      </w:r>
      <w:r>
        <w:rPr>
          <w:rFonts w:asciiTheme="minorHAnsi" w:hAnsiTheme="minorHAnsi" w:cs="Arial"/>
          <w:sz w:val="22"/>
          <w:szCs w:val="22"/>
        </w:rPr>
        <w:t xml:space="preserve">isiting </w:t>
      </w:r>
      <w:r w:rsidR="00860A61" w:rsidRPr="005B3831">
        <w:rPr>
          <w:rFonts w:asciiTheme="minorHAnsi" w:hAnsiTheme="minorHAnsi" w:cs="Arial"/>
          <w:sz w:val="22"/>
          <w:szCs w:val="22"/>
        </w:rPr>
        <w:t>M</w:t>
      </w:r>
      <w:r w:rsidR="007E0875">
        <w:rPr>
          <w:rFonts w:asciiTheme="minorHAnsi" w:hAnsiTheme="minorHAnsi" w:cs="Arial"/>
          <w:sz w:val="22"/>
          <w:szCs w:val="22"/>
        </w:rPr>
        <w:t>edical Officers (VM</w:t>
      </w:r>
      <w:r w:rsidR="00860A61" w:rsidRPr="005B3831">
        <w:rPr>
          <w:rFonts w:asciiTheme="minorHAnsi" w:hAnsiTheme="minorHAnsi" w:cs="Arial"/>
          <w:sz w:val="22"/>
          <w:szCs w:val="22"/>
        </w:rPr>
        <w:t>Os</w:t>
      </w:r>
      <w:r w:rsidR="007E0875">
        <w:rPr>
          <w:rFonts w:asciiTheme="minorHAnsi" w:hAnsiTheme="minorHAnsi" w:cs="Arial"/>
          <w:sz w:val="22"/>
          <w:szCs w:val="22"/>
        </w:rPr>
        <w:t>)</w:t>
      </w:r>
      <w:r w:rsidR="00860A61" w:rsidRPr="005B3831">
        <w:rPr>
          <w:rFonts w:asciiTheme="minorHAnsi" w:hAnsiTheme="minorHAnsi" w:cs="Arial"/>
          <w:sz w:val="22"/>
          <w:szCs w:val="22"/>
        </w:rPr>
        <w:t xml:space="preserve">, </w:t>
      </w:r>
      <w:r w:rsidR="007E0875">
        <w:rPr>
          <w:rFonts w:asciiTheme="minorHAnsi" w:hAnsiTheme="minorHAnsi" w:cs="Arial"/>
          <w:sz w:val="22"/>
          <w:szCs w:val="22"/>
        </w:rPr>
        <w:t>patients and consumers involved in the hospital</w:t>
      </w:r>
      <w:r w:rsidR="006C6E5A">
        <w:rPr>
          <w:rFonts w:asciiTheme="minorHAnsi" w:hAnsiTheme="minorHAnsi" w:cs="Arial"/>
          <w:sz w:val="22"/>
          <w:szCs w:val="22"/>
        </w:rPr>
        <w:t>’</w:t>
      </w:r>
      <w:r w:rsidR="007E0875">
        <w:rPr>
          <w:rFonts w:asciiTheme="minorHAnsi" w:hAnsiTheme="minorHAnsi" w:cs="Arial"/>
          <w:sz w:val="22"/>
          <w:szCs w:val="22"/>
        </w:rPr>
        <w:t>s quality activities.</w:t>
      </w:r>
    </w:p>
    <w:p w14:paraId="35879A2E" w14:textId="08BC2F78" w:rsidR="007E0875" w:rsidRPr="00860A61" w:rsidRDefault="007E0875" w:rsidP="005B3831">
      <w:pPr>
        <w:pStyle w:val="ListParagraph"/>
        <w:numPr>
          <w:ilvl w:val="0"/>
          <w:numId w:val="23"/>
        </w:numPr>
        <w:rPr>
          <w:rFonts w:asciiTheme="minorHAnsi" w:hAnsiTheme="minorHAnsi" w:cs="Arial"/>
          <w:sz w:val="22"/>
          <w:szCs w:val="22"/>
        </w:rPr>
      </w:pPr>
      <w:r>
        <w:rPr>
          <w:rFonts w:asciiTheme="minorHAnsi" w:hAnsiTheme="minorHAnsi" w:cs="Arial"/>
          <w:sz w:val="22"/>
          <w:szCs w:val="22"/>
        </w:rPr>
        <w:t>All services, departments, and programs contributing to continuous improvement and patient safety.</w:t>
      </w:r>
    </w:p>
    <w:p w14:paraId="55367AE9" w14:textId="77777777" w:rsidR="007E0875" w:rsidRDefault="007E0875" w:rsidP="007E0875">
      <w:pPr>
        <w:rPr>
          <w:rFonts w:asciiTheme="minorHAnsi" w:hAnsiTheme="minorHAnsi" w:cs="Arial"/>
          <w:sz w:val="22"/>
          <w:szCs w:val="22"/>
        </w:rPr>
      </w:pPr>
    </w:p>
    <w:p w14:paraId="364A3372" w14:textId="0237F63A" w:rsidR="007E0875" w:rsidRDefault="007E0875" w:rsidP="007E0875">
      <w:pPr>
        <w:rPr>
          <w:rFonts w:asciiTheme="minorHAnsi" w:hAnsiTheme="minorHAnsi" w:cs="Arial"/>
          <w:sz w:val="22"/>
          <w:szCs w:val="22"/>
        </w:rPr>
      </w:pPr>
      <w:r>
        <w:rPr>
          <w:rFonts w:asciiTheme="minorHAnsi" w:hAnsiTheme="minorHAnsi" w:cs="Arial"/>
          <w:sz w:val="22"/>
          <w:szCs w:val="22"/>
        </w:rPr>
        <w:t xml:space="preserve">The Directors and Executive Management of Keilor Private Hospital are responsible for fostering a culture of quality, safety, and ongoing improvement by ensuring the implementation, </w:t>
      </w:r>
      <w:r w:rsidR="00B37382">
        <w:rPr>
          <w:rFonts w:asciiTheme="minorHAnsi" w:hAnsiTheme="minorHAnsi" w:cs="Arial"/>
          <w:sz w:val="22"/>
          <w:szCs w:val="22"/>
        </w:rPr>
        <w:t>monitoring,</w:t>
      </w:r>
      <w:r>
        <w:rPr>
          <w:rFonts w:asciiTheme="minorHAnsi" w:hAnsiTheme="minorHAnsi" w:cs="Arial"/>
          <w:sz w:val="22"/>
          <w:szCs w:val="22"/>
        </w:rPr>
        <w:t xml:space="preserve"> and evaluation of quality initiatives.</w:t>
      </w:r>
    </w:p>
    <w:p w14:paraId="60A1EB00" w14:textId="77777777" w:rsidR="007E0875" w:rsidRDefault="007E0875" w:rsidP="007E0875">
      <w:pPr>
        <w:rPr>
          <w:rFonts w:asciiTheme="minorHAnsi" w:hAnsiTheme="minorHAnsi" w:cs="Arial"/>
          <w:sz w:val="22"/>
          <w:szCs w:val="22"/>
        </w:rPr>
      </w:pPr>
    </w:p>
    <w:p w14:paraId="7960F221" w14:textId="6052FA18" w:rsidR="007E0875" w:rsidRPr="005B3831" w:rsidRDefault="007E0875" w:rsidP="007E0875">
      <w:pPr>
        <w:rPr>
          <w:rFonts w:asciiTheme="minorHAnsi" w:hAnsiTheme="minorHAnsi" w:cs="Arial"/>
          <w:b/>
          <w:bCs/>
          <w:sz w:val="24"/>
          <w:szCs w:val="24"/>
        </w:rPr>
      </w:pPr>
      <w:r w:rsidRPr="005B3831">
        <w:rPr>
          <w:rFonts w:asciiTheme="minorHAnsi" w:hAnsiTheme="minorHAnsi" w:cs="Arial"/>
          <w:b/>
          <w:bCs/>
          <w:sz w:val="24"/>
          <w:szCs w:val="24"/>
        </w:rPr>
        <w:t xml:space="preserve">Principles &amp; Commitment </w:t>
      </w:r>
    </w:p>
    <w:p w14:paraId="25761E5E" w14:textId="77777777" w:rsidR="00AF1D6D" w:rsidRDefault="00AF1D6D" w:rsidP="007E0875">
      <w:pPr>
        <w:rPr>
          <w:rFonts w:asciiTheme="minorHAnsi" w:hAnsiTheme="minorHAnsi" w:cs="Arial"/>
          <w:b/>
          <w:bCs/>
          <w:sz w:val="22"/>
          <w:szCs w:val="22"/>
        </w:rPr>
      </w:pPr>
    </w:p>
    <w:p w14:paraId="312BA8B7" w14:textId="4F4EFCFB" w:rsidR="007E0875" w:rsidRDefault="007E0875" w:rsidP="007E0875">
      <w:pPr>
        <w:rPr>
          <w:rFonts w:asciiTheme="minorHAnsi" w:hAnsiTheme="minorHAnsi" w:cs="Arial"/>
          <w:sz w:val="22"/>
          <w:szCs w:val="22"/>
        </w:rPr>
      </w:pPr>
      <w:r w:rsidRPr="005B3831">
        <w:rPr>
          <w:rFonts w:asciiTheme="minorHAnsi" w:hAnsiTheme="minorHAnsi" w:cs="Arial"/>
          <w:sz w:val="22"/>
          <w:szCs w:val="22"/>
        </w:rPr>
        <w:t xml:space="preserve">Keilor Private ensures quality by </w:t>
      </w:r>
      <w:r>
        <w:rPr>
          <w:rFonts w:asciiTheme="minorHAnsi" w:hAnsiTheme="minorHAnsi" w:cs="Arial"/>
          <w:sz w:val="22"/>
          <w:szCs w:val="22"/>
        </w:rPr>
        <w:t>–</w:t>
      </w:r>
      <w:r w:rsidRPr="005B3831">
        <w:rPr>
          <w:rFonts w:asciiTheme="minorHAnsi" w:hAnsiTheme="minorHAnsi" w:cs="Arial"/>
          <w:sz w:val="22"/>
          <w:szCs w:val="22"/>
        </w:rPr>
        <w:t xml:space="preserve"> </w:t>
      </w:r>
    </w:p>
    <w:p w14:paraId="44745E20" w14:textId="77777777" w:rsidR="00AF1D6D" w:rsidRDefault="00AF1D6D" w:rsidP="007E0875">
      <w:pPr>
        <w:rPr>
          <w:rFonts w:asciiTheme="minorHAnsi" w:hAnsiTheme="minorHAnsi" w:cs="Arial"/>
          <w:sz w:val="22"/>
          <w:szCs w:val="22"/>
        </w:rPr>
      </w:pPr>
    </w:p>
    <w:p w14:paraId="6F929D42" w14:textId="7ED82838" w:rsidR="007E0875" w:rsidRDefault="007E0875" w:rsidP="007E0875">
      <w:pPr>
        <w:pStyle w:val="ListParagraph"/>
        <w:numPr>
          <w:ilvl w:val="0"/>
          <w:numId w:val="24"/>
        </w:numPr>
        <w:rPr>
          <w:rFonts w:asciiTheme="minorHAnsi" w:hAnsiTheme="minorHAnsi" w:cs="Arial"/>
          <w:sz w:val="22"/>
          <w:szCs w:val="22"/>
        </w:rPr>
      </w:pPr>
      <w:r>
        <w:rPr>
          <w:rFonts w:asciiTheme="minorHAnsi" w:hAnsiTheme="minorHAnsi" w:cs="Arial"/>
          <w:sz w:val="22"/>
          <w:szCs w:val="22"/>
        </w:rPr>
        <w:t>Maintaining a structured Quality Management System with measurable key performance indicators</w:t>
      </w:r>
      <w:r w:rsidR="006C6E5A">
        <w:rPr>
          <w:rFonts w:asciiTheme="minorHAnsi" w:hAnsiTheme="minorHAnsi" w:cs="Arial"/>
          <w:sz w:val="22"/>
          <w:szCs w:val="22"/>
        </w:rPr>
        <w:t>.</w:t>
      </w:r>
    </w:p>
    <w:p w14:paraId="322A0F6D" w14:textId="1DE565F2" w:rsidR="007E0875" w:rsidRDefault="007E0875" w:rsidP="007E0875">
      <w:pPr>
        <w:pStyle w:val="ListParagraph"/>
        <w:numPr>
          <w:ilvl w:val="0"/>
          <w:numId w:val="24"/>
        </w:numPr>
        <w:rPr>
          <w:rFonts w:asciiTheme="minorHAnsi" w:hAnsiTheme="minorHAnsi" w:cs="Arial"/>
          <w:sz w:val="22"/>
          <w:szCs w:val="22"/>
        </w:rPr>
      </w:pPr>
      <w:r>
        <w:rPr>
          <w:rFonts w:asciiTheme="minorHAnsi" w:hAnsiTheme="minorHAnsi" w:cs="Arial"/>
          <w:sz w:val="22"/>
          <w:szCs w:val="22"/>
        </w:rPr>
        <w:t>Establishing a multidisciplinary Quality Committee to oversee quality initiatives</w:t>
      </w:r>
      <w:r w:rsidR="006C6E5A">
        <w:rPr>
          <w:rFonts w:asciiTheme="minorHAnsi" w:hAnsiTheme="minorHAnsi" w:cs="Arial"/>
          <w:sz w:val="22"/>
          <w:szCs w:val="22"/>
        </w:rPr>
        <w:t>.</w:t>
      </w:r>
    </w:p>
    <w:p w14:paraId="0F55F7EA" w14:textId="5B01E5BD" w:rsidR="007E0875" w:rsidRDefault="007E0875" w:rsidP="007E0875">
      <w:pPr>
        <w:pStyle w:val="ListParagraph"/>
        <w:numPr>
          <w:ilvl w:val="0"/>
          <w:numId w:val="24"/>
        </w:numPr>
        <w:rPr>
          <w:rFonts w:asciiTheme="minorHAnsi" w:hAnsiTheme="minorHAnsi" w:cs="Arial"/>
          <w:sz w:val="22"/>
          <w:szCs w:val="22"/>
        </w:rPr>
      </w:pPr>
      <w:r>
        <w:rPr>
          <w:rFonts w:asciiTheme="minorHAnsi" w:hAnsiTheme="minorHAnsi" w:cs="Arial"/>
          <w:sz w:val="22"/>
          <w:szCs w:val="22"/>
        </w:rPr>
        <w:t>Providing ongoing education, training and resources to staff, VMOs and consumers</w:t>
      </w:r>
      <w:r w:rsidR="006C6E5A">
        <w:rPr>
          <w:rFonts w:asciiTheme="minorHAnsi" w:hAnsiTheme="minorHAnsi" w:cs="Arial"/>
          <w:sz w:val="22"/>
          <w:szCs w:val="22"/>
        </w:rPr>
        <w:t>.</w:t>
      </w:r>
    </w:p>
    <w:p w14:paraId="455CFC17" w14:textId="4BB88770" w:rsidR="007E0875" w:rsidRDefault="007E0875" w:rsidP="007E0875">
      <w:pPr>
        <w:pStyle w:val="ListParagraph"/>
        <w:numPr>
          <w:ilvl w:val="0"/>
          <w:numId w:val="24"/>
        </w:numPr>
        <w:rPr>
          <w:rFonts w:asciiTheme="minorHAnsi" w:hAnsiTheme="minorHAnsi" w:cs="Arial"/>
          <w:sz w:val="22"/>
          <w:szCs w:val="22"/>
        </w:rPr>
      </w:pPr>
      <w:r>
        <w:rPr>
          <w:rFonts w:asciiTheme="minorHAnsi" w:hAnsiTheme="minorHAnsi" w:cs="Arial"/>
          <w:sz w:val="22"/>
          <w:szCs w:val="22"/>
        </w:rPr>
        <w:t>Implementing effective clinical governance and risk management frameworks</w:t>
      </w:r>
      <w:r w:rsidR="006C6E5A">
        <w:rPr>
          <w:rFonts w:asciiTheme="minorHAnsi" w:hAnsiTheme="minorHAnsi" w:cs="Arial"/>
          <w:sz w:val="22"/>
          <w:szCs w:val="22"/>
        </w:rPr>
        <w:t>.</w:t>
      </w:r>
    </w:p>
    <w:p w14:paraId="0E10F762" w14:textId="4C8FA509" w:rsidR="007E0875" w:rsidRPr="005B3831" w:rsidRDefault="007E0875" w:rsidP="005B3831">
      <w:pPr>
        <w:pStyle w:val="ListParagraph"/>
        <w:numPr>
          <w:ilvl w:val="0"/>
          <w:numId w:val="24"/>
        </w:numPr>
        <w:rPr>
          <w:rFonts w:asciiTheme="minorHAnsi" w:hAnsiTheme="minorHAnsi" w:cs="Arial"/>
          <w:sz w:val="22"/>
          <w:szCs w:val="22"/>
        </w:rPr>
      </w:pPr>
      <w:r>
        <w:rPr>
          <w:rFonts w:asciiTheme="minorHAnsi" w:hAnsiTheme="minorHAnsi" w:cs="Arial"/>
          <w:sz w:val="22"/>
          <w:szCs w:val="22"/>
        </w:rPr>
        <w:t>Monitoring feedback, incidents, and audits to drive service enhancements</w:t>
      </w:r>
      <w:r w:rsidR="006C6E5A">
        <w:rPr>
          <w:rFonts w:asciiTheme="minorHAnsi" w:hAnsiTheme="minorHAnsi" w:cs="Arial"/>
          <w:sz w:val="22"/>
          <w:szCs w:val="22"/>
        </w:rPr>
        <w:t>.</w:t>
      </w:r>
    </w:p>
    <w:p w14:paraId="37C6640A" w14:textId="77777777" w:rsidR="004B0B6F" w:rsidRPr="00860A61" w:rsidRDefault="004B0B6F" w:rsidP="005B3831">
      <w:pPr>
        <w:pStyle w:val="ListParagraph"/>
        <w:rPr>
          <w:rFonts w:asciiTheme="minorHAnsi" w:hAnsiTheme="minorHAnsi" w:cs="Arial"/>
          <w:sz w:val="22"/>
          <w:szCs w:val="22"/>
        </w:rPr>
      </w:pPr>
    </w:p>
    <w:p w14:paraId="50F8B830" w14:textId="7F17E502" w:rsidR="00AA0386" w:rsidRPr="005B3831" w:rsidRDefault="00860A61" w:rsidP="00AA0386">
      <w:pPr>
        <w:rPr>
          <w:rFonts w:asciiTheme="minorHAnsi" w:hAnsiTheme="minorHAnsi" w:cs="Arial"/>
          <w:b/>
          <w:bCs/>
          <w:sz w:val="24"/>
          <w:szCs w:val="24"/>
        </w:rPr>
      </w:pPr>
      <w:r w:rsidRPr="005B3831">
        <w:rPr>
          <w:rFonts w:asciiTheme="minorHAnsi" w:hAnsiTheme="minorHAnsi" w:cs="Arial"/>
          <w:b/>
          <w:bCs/>
          <w:sz w:val="24"/>
          <w:szCs w:val="24"/>
        </w:rPr>
        <w:t>Procedure</w:t>
      </w:r>
    </w:p>
    <w:p w14:paraId="732E3AB0" w14:textId="77777777" w:rsidR="007E0875" w:rsidRDefault="007E0875" w:rsidP="00AA0386">
      <w:pPr>
        <w:rPr>
          <w:rFonts w:asciiTheme="minorHAnsi" w:hAnsiTheme="minorHAnsi" w:cs="Arial"/>
          <w:b/>
          <w:bCs/>
          <w:sz w:val="22"/>
          <w:szCs w:val="22"/>
        </w:rPr>
      </w:pPr>
    </w:p>
    <w:p w14:paraId="20375A44" w14:textId="48895769" w:rsidR="007E0875" w:rsidRPr="005B3831" w:rsidRDefault="007E0875" w:rsidP="00AA0386">
      <w:pPr>
        <w:rPr>
          <w:rFonts w:asciiTheme="minorHAnsi" w:hAnsiTheme="minorHAnsi" w:cs="Arial"/>
          <w:b/>
          <w:bCs/>
          <w:sz w:val="24"/>
          <w:szCs w:val="24"/>
        </w:rPr>
      </w:pPr>
      <w:r w:rsidRPr="005B3831">
        <w:rPr>
          <w:rFonts w:asciiTheme="minorHAnsi" w:hAnsiTheme="minorHAnsi" w:cs="Arial"/>
          <w:b/>
          <w:bCs/>
          <w:sz w:val="24"/>
          <w:szCs w:val="24"/>
        </w:rPr>
        <w:t>Quality Responsibilities</w:t>
      </w:r>
    </w:p>
    <w:p w14:paraId="10BE4751" w14:textId="77777777" w:rsidR="00AF1D6D" w:rsidRDefault="00AF1D6D" w:rsidP="00AA0386">
      <w:pPr>
        <w:rPr>
          <w:rFonts w:asciiTheme="minorHAnsi" w:hAnsiTheme="minorHAnsi" w:cs="Arial"/>
          <w:b/>
          <w:bCs/>
          <w:sz w:val="22"/>
          <w:szCs w:val="22"/>
        </w:rPr>
      </w:pPr>
    </w:p>
    <w:p w14:paraId="24DAC1E0" w14:textId="0EF4AA39" w:rsidR="007E0875" w:rsidRDefault="007E0875" w:rsidP="007E0875">
      <w:pPr>
        <w:pStyle w:val="ListParagraph"/>
        <w:numPr>
          <w:ilvl w:val="0"/>
          <w:numId w:val="25"/>
        </w:numPr>
        <w:rPr>
          <w:rFonts w:asciiTheme="minorHAnsi" w:hAnsiTheme="minorHAnsi" w:cs="Arial"/>
          <w:sz w:val="22"/>
          <w:szCs w:val="22"/>
        </w:rPr>
      </w:pPr>
      <w:r w:rsidRPr="005B3831">
        <w:rPr>
          <w:rFonts w:asciiTheme="minorHAnsi" w:hAnsiTheme="minorHAnsi" w:cs="Arial"/>
          <w:sz w:val="22"/>
          <w:szCs w:val="22"/>
        </w:rPr>
        <w:t>All staff must understand their role in achieving quality objectives and adhere to hospital policies</w:t>
      </w:r>
      <w:r w:rsidR="00B37382" w:rsidRPr="005B3831">
        <w:rPr>
          <w:rFonts w:asciiTheme="minorHAnsi" w:hAnsiTheme="minorHAnsi" w:cs="Arial"/>
          <w:sz w:val="22"/>
          <w:szCs w:val="22"/>
        </w:rPr>
        <w:t xml:space="preserve"> and procedures</w:t>
      </w:r>
      <w:r w:rsidR="006C6E5A">
        <w:rPr>
          <w:rFonts w:asciiTheme="minorHAnsi" w:hAnsiTheme="minorHAnsi" w:cs="Arial"/>
          <w:sz w:val="22"/>
          <w:szCs w:val="22"/>
        </w:rPr>
        <w:t>.</w:t>
      </w:r>
    </w:p>
    <w:p w14:paraId="450D3FEB" w14:textId="11F94569" w:rsidR="00B37382" w:rsidRDefault="00B37382" w:rsidP="007E0875">
      <w:pPr>
        <w:pStyle w:val="ListParagraph"/>
        <w:numPr>
          <w:ilvl w:val="0"/>
          <w:numId w:val="25"/>
        </w:numPr>
        <w:rPr>
          <w:rFonts w:asciiTheme="minorHAnsi" w:hAnsiTheme="minorHAnsi" w:cs="Arial"/>
          <w:sz w:val="22"/>
          <w:szCs w:val="22"/>
        </w:rPr>
      </w:pPr>
      <w:r>
        <w:rPr>
          <w:rFonts w:asciiTheme="minorHAnsi" w:hAnsiTheme="minorHAnsi" w:cs="Arial"/>
          <w:sz w:val="22"/>
          <w:szCs w:val="22"/>
        </w:rPr>
        <w:t>Each department will conduct regular quality activities, involving all staff in improvement initiatives</w:t>
      </w:r>
      <w:r w:rsidR="006C6E5A">
        <w:rPr>
          <w:rFonts w:asciiTheme="minorHAnsi" w:hAnsiTheme="minorHAnsi" w:cs="Arial"/>
          <w:sz w:val="22"/>
          <w:szCs w:val="22"/>
        </w:rPr>
        <w:t>.</w:t>
      </w:r>
    </w:p>
    <w:p w14:paraId="409DEB40" w14:textId="2A477DF8" w:rsidR="004B0B6F" w:rsidRDefault="004B0B6F" w:rsidP="00B37382">
      <w:pPr>
        <w:numPr>
          <w:ilvl w:val="0"/>
          <w:numId w:val="17"/>
        </w:numPr>
        <w:rPr>
          <w:rFonts w:asciiTheme="minorHAnsi" w:hAnsiTheme="minorHAnsi" w:cs="Arial"/>
          <w:sz w:val="22"/>
          <w:szCs w:val="22"/>
        </w:rPr>
      </w:pPr>
      <w:r w:rsidRPr="00B37382">
        <w:rPr>
          <w:rFonts w:asciiTheme="minorHAnsi" w:hAnsiTheme="minorHAnsi" w:cs="Arial"/>
          <w:sz w:val="22"/>
          <w:szCs w:val="22"/>
        </w:rPr>
        <w:t>Evidence</w:t>
      </w:r>
      <w:r w:rsidR="00B37382">
        <w:rPr>
          <w:rFonts w:asciiTheme="minorHAnsi" w:hAnsiTheme="minorHAnsi" w:cs="Arial"/>
          <w:sz w:val="22"/>
          <w:szCs w:val="22"/>
        </w:rPr>
        <w:t>-based</w:t>
      </w:r>
      <w:r w:rsidRPr="00B37382">
        <w:rPr>
          <w:rFonts w:asciiTheme="minorHAnsi" w:hAnsiTheme="minorHAnsi" w:cs="Arial"/>
          <w:sz w:val="22"/>
          <w:szCs w:val="22"/>
        </w:rPr>
        <w:t xml:space="preserve"> quality </w:t>
      </w:r>
      <w:r w:rsidR="00B37382">
        <w:rPr>
          <w:rFonts w:asciiTheme="minorHAnsi" w:hAnsiTheme="minorHAnsi" w:cs="Arial"/>
          <w:sz w:val="22"/>
          <w:szCs w:val="22"/>
        </w:rPr>
        <w:t>improvement practices will be integrated at all levels</w:t>
      </w:r>
      <w:r w:rsidR="006C6E5A">
        <w:rPr>
          <w:rFonts w:asciiTheme="minorHAnsi" w:hAnsiTheme="minorHAnsi" w:cs="Arial"/>
          <w:sz w:val="22"/>
          <w:szCs w:val="22"/>
        </w:rPr>
        <w:t>.</w:t>
      </w:r>
    </w:p>
    <w:p w14:paraId="0D357E76" w14:textId="2467361C" w:rsidR="005E37D8" w:rsidRDefault="005E37D8" w:rsidP="00B37382">
      <w:pPr>
        <w:numPr>
          <w:ilvl w:val="0"/>
          <w:numId w:val="17"/>
        </w:numPr>
        <w:rPr>
          <w:rFonts w:asciiTheme="minorHAnsi" w:hAnsiTheme="minorHAnsi" w:cs="Arial"/>
          <w:sz w:val="22"/>
          <w:szCs w:val="22"/>
        </w:rPr>
      </w:pPr>
      <w:r>
        <w:rPr>
          <w:rFonts w:asciiTheme="minorHAnsi" w:hAnsiTheme="minorHAnsi" w:cs="Arial"/>
          <w:sz w:val="22"/>
          <w:szCs w:val="22"/>
        </w:rPr>
        <w:t>Performance metrics will be reviewed through structured reporting mechanisms</w:t>
      </w:r>
      <w:r w:rsidR="006C6E5A">
        <w:rPr>
          <w:rFonts w:asciiTheme="minorHAnsi" w:hAnsiTheme="minorHAnsi" w:cs="Arial"/>
          <w:sz w:val="22"/>
          <w:szCs w:val="22"/>
        </w:rPr>
        <w:t>.</w:t>
      </w:r>
    </w:p>
    <w:p w14:paraId="6BEE9FEF" w14:textId="48970415" w:rsidR="005E37D8" w:rsidRDefault="005E37D8" w:rsidP="005E37D8">
      <w:pPr>
        <w:rPr>
          <w:rFonts w:asciiTheme="minorHAnsi" w:hAnsiTheme="minorHAnsi" w:cs="Arial"/>
          <w:b/>
          <w:bCs/>
          <w:sz w:val="24"/>
          <w:szCs w:val="24"/>
        </w:rPr>
      </w:pPr>
      <w:r w:rsidRPr="005B3831">
        <w:rPr>
          <w:rFonts w:asciiTheme="minorHAnsi" w:hAnsiTheme="minorHAnsi" w:cs="Arial"/>
          <w:b/>
          <w:bCs/>
          <w:sz w:val="24"/>
          <w:szCs w:val="24"/>
        </w:rPr>
        <w:lastRenderedPageBreak/>
        <w:t>Quality Cycle</w:t>
      </w:r>
    </w:p>
    <w:p w14:paraId="23BFBB21" w14:textId="77777777" w:rsidR="00BC7550" w:rsidRPr="005B3831" w:rsidRDefault="00BC7550" w:rsidP="005E37D8">
      <w:pPr>
        <w:rPr>
          <w:rFonts w:asciiTheme="minorHAnsi" w:hAnsiTheme="minorHAnsi" w:cs="Arial"/>
          <w:b/>
          <w:bCs/>
          <w:sz w:val="24"/>
          <w:szCs w:val="24"/>
        </w:rPr>
      </w:pPr>
    </w:p>
    <w:p w14:paraId="490C6C4F" w14:textId="170F28D9" w:rsidR="005E37D8" w:rsidRDefault="005E37D8" w:rsidP="005E37D8">
      <w:pPr>
        <w:rPr>
          <w:rFonts w:asciiTheme="minorHAnsi" w:hAnsiTheme="minorHAnsi" w:cstheme="minorHAnsi"/>
          <w:sz w:val="22"/>
          <w:szCs w:val="22"/>
        </w:rPr>
      </w:pPr>
      <w:r w:rsidRPr="005B3831">
        <w:rPr>
          <w:rFonts w:asciiTheme="minorHAnsi" w:hAnsiTheme="minorHAnsi" w:cstheme="minorHAnsi"/>
          <w:sz w:val="22"/>
          <w:szCs w:val="22"/>
        </w:rPr>
        <w:t xml:space="preserve">Quality activities will be documented and demonstrate the following cycle </w:t>
      </w:r>
      <w:r w:rsidR="00BC7550">
        <w:rPr>
          <w:rFonts w:asciiTheme="minorHAnsi" w:hAnsiTheme="minorHAnsi" w:cstheme="minorHAnsi"/>
          <w:sz w:val="22"/>
          <w:szCs w:val="22"/>
        </w:rPr>
        <w:t>–</w:t>
      </w:r>
    </w:p>
    <w:p w14:paraId="14BA507B" w14:textId="77777777" w:rsidR="00BC7550" w:rsidRPr="00DF6416" w:rsidRDefault="00BC7550" w:rsidP="005B3831">
      <w:pPr>
        <w:rPr>
          <w:rFonts w:asciiTheme="minorHAnsi" w:hAnsiTheme="minorHAnsi" w:cstheme="minorHAnsi"/>
          <w:sz w:val="22"/>
          <w:szCs w:val="22"/>
        </w:rPr>
      </w:pPr>
    </w:p>
    <w:p w14:paraId="600F3D52" w14:textId="2326F64B" w:rsidR="00DF6416" w:rsidRPr="00DF6416" w:rsidRDefault="005E37D8" w:rsidP="005B3831">
      <w:pPr>
        <w:pStyle w:val="ListParagraph"/>
        <w:numPr>
          <w:ilvl w:val="0"/>
          <w:numId w:val="27"/>
        </w:numPr>
        <w:rPr>
          <w:rFonts w:asciiTheme="minorHAnsi" w:hAnsiTheme="minorHAnsi" w:cstheme="minorHAnsi"/>
          <w:sz w:val="22"/>
          <w:szCs w:val="22"/>
        </w:rPr>
      </w:pPr>
      <w:r w:rsidRPr="00DF6416">
        <w:rPr>
          <w:rFonts w:asciiTheme="minorHAnsi" w:hAnsiTheme="minorHAnsi" w:cstheme="minorHAnsi"/>
          <w:sz w:val="22"/>
          <w:szCs w:val="22"/>
        </w:rPr>
        <w:t>Monitoring – Data collection, incident tracking, and performance assessment</w:t>
      </w:r>
      <w:r w:rsidR="006C6E5A">
        <w:rPr>
          <w:rFonts w:asciiTheme="minorHAnsi" w:hAnsiTheme="minorHAnsi" w:cstheme="minorHAnsi"/>
          <w:sz w:val="22"/>
          <w:szCs w:val="22"/>
        </w:rPr>
        <w:t>.</w:t>
      </w:r>
    </w:p>
    <w:p w14:paraId="7A98C19E" w14:textId="6C056EF5" w:rsidR="00DF6416" w:rsidRPr="005B3831" w:rsidRDefault="00DF6416" w:rsidP="005B3831">
      <w:pPr>
        <w:pStyle w:val="ListParagraph"/>
        <w:numPr>
          <w:ilvl w:val="0"/>
          <w:numId w:val="27"/>
        </w:numPr>
        <w:rPr>
          <w:rFonts w:asciiTheme="minorHAnsi" w:hAnsiTheme="minorHAnsi" w:cstheme="minorHAnsi"/>
          <w:sz w:val="22"/>
          <w:szCs w:val="22"/>
        </w:rPr>
      </w:pPr>
      <w:r w:rsidRPr="00DF6416">
        <w:rPr>
          <w:rFonts w:asciiTheme="minorHAnsi" w:hAnsiTheme="minorHAnsi" w:cstheme="minorHAnsi"/>
          <w:sz w:val="22"/>
          <w:szCs w:val="22"/>
        </w:rPr>
        <w:t>Assessment – Identification of trends, risks and opportunities for improvement</w:t>
      </w:r>
      <w:r w:rsidR="006C6E5A">
        <w:rPr>
          <w:rFonts w:asciiTheme="minorHAnsi" w:hAnsiTheme="minorHAnsi" w:cstheme="minorHAnsi"/>
          <w:sz w:val="22"/>
          <w:szCs w:val="22"/>
        </w:rPr>
        <w:t>.</w:t>
      </w:r>
    </w:p>
    <w:p w14:paraId="46CE0DBA" w14:textId="3F0A3B8E" w:rsidR="00DF6416" w:rsidRPr="005B3831" w:rsidRDefault="00DF6416" w:rsidP="005B3831">
      <w:pPr>
        <w:pStyle w:val="ListParagraph"/>
        <w:numPr>
          <w:ilvl w:val="0"/>
          <w:numId w:val="27"/>
        </w:numPr>
        <w:rPr>
          <w:rFonts w:asciiTheme="minorHAnsi" w:hAnsiTheme="minorHAnsi" w:cstheme="minorHAnsi"/>
          <w:sz w:val="22"/>
          <w:szCs w:val="22"/>
        </w:rPr>
      </w:pPr>
      <w:r w:rsidRPr="00DF6416">
        <w:rPr>
          <w:rFonts w:asciiTheme="minorHAnsi" w:hAnsiTheme="minorHAnsi" w:cstheme="minorHAnsi"/>
          <w:sz w:val="22"/>
          <w:szCs w:val="22"/>
        </w:rPr>
        <w:t>Action – Implementation of corrective measures and process enhancements</w:t>
      </w:r>
      <w:r w:rsidR="006C6E5A">
        <w:rPr>
          <w:rFonts w:asciiTheme="minorHAnsi" w:hAnsiTheme="minorHAnsi" w:cstheme="minorHAnsi"/>
          <w:sz w:val="22"/>
          <w:szCs w:val="22"/>
        </w:rPr>
        <w:t>.</w:t>
      </w:r>
    </w:p>
    <w:p w14:paraId="6647F89C" w14:textId="418F1423" w:rsidR="004B0B6F" w:rsidRPr="005B3831" w:rsidRDefault="00DF6416" w:rsidP="005B3831">
      <w:pPr>
        <w:pStyle w:val="ListParagraph"/>
        <w:numPr>
          <w:ilvl w:val="0"/>
          <w:numId w:val="27"/>
        </w:numPr>
        <w:rPr>
          <w:rFonts w:asciiTheme="minorHAnsi" w:hAnsiTheme="minorHAnsi" w:cstheme="minorHAnsi"/>
          <w:sz w:val="22"/>
          <w:szCs w:val="22"/>
        </w:rPr>
      </w:pPr>
      <w:r w:rsidRPr="005B3831">
        <w:rPr>
          <w:rFonts w:asciiTheme="minorHAnsi" w:hAnsiTheme="minorHAnsi" w:cstheme="minorHAnsi"/>
          <w:sz w:val="22"/>
          <w:szCs w:val="22"/>
        </w:rPr>
        <w:t>Evaluation &amp; Feedback – Measuring effectiveness and communicating outcomes</w:t>
      </w:r>
      <w:r w:rsidR="006C6E5A">
        <w:rPr>
          <w:rFonts w:asciiTheme="minorHAnsi" w:hAnsiTheme="minorHAnsi" w:cstheme="minorHAnsi"/>
          <w:sz w:val="22"/>
          <w:szCs w:val="22"/>
        </w:rPr>
        <w:t>.</w:t>
      </w:r>
    </w:p>
    <w:p w14:paraId="72196E3B" w14:textId="77777777" w:rsidR="004B0B6F" w:rsidRPr="00DF6416" w:rsidRDefault="004B0B6F" w:rsidP="004B0B6F">
      <w:pPr>
        <w:rPr>
          <w:rFonts w:asciiTheme="minorHAnsi" w:hAnsiTheme="minorHAnsi" w:cstheme="minorHAnsi"/>
          <w:bCs/>
          <w:sz w:val="22"/>
          <w:szCs w:val="22"/>
        </w:rPr>
      </w:pPr>
    </w:p>
    <w:p w14:paraId="6B412157" w14:textId="7CD15E22" w:rsidR="00805135" w:rsidRDefault="00DF6416" w:rsidP="00AA0386">
      <w:pPr>
        <w:pStyle w:val="BodyText3"/>
        <w:jc w:val="left"/>
        <w:rPr>
          <w:rFonts w:asciiTheme="minorHAnsi" w:hAnsiTheme="minorHAnsi" w:cs="Arial"/>
          <w:b/>
          <w:bCs w:val="0"/>
          <w:szCs w:val="24"/>
        </w:rPr>
      </w:pPr>
      <w:r w:rsidRPr="005B3831">
        <w:rPr>
          <w:rFonts w:asciiTheme="minorHAnsi" w:hAnsiTheme="minorHAnsi" w:cs="Arial"/>
          <w:b/>
          <w:bCs w:val="0"/>
          <w:szCs w:val="24"/>
        </w:rPr>
        <w:t>Documentation &amp; Reporting</w:t>
      </w:r>
    </w:p>
    <w:p w14:paraId="28C185A0" w14:textId="77777777" w:rsidR="00BC7550" w:rsidRPr="005B3831" w:rsidRDefault="00BC7550" w:rsidP="00AA0386">
      <w:pPr>
        <w:pStyle w:val="BodyText3"/>
        <w:jc w:val="left"/>
        <w:rPr>
          <w:rFonts w:asciiTheme="minorHAnsi" w:hAnsiTheme="minorHAnsi" w:cs="Arial"/>
          <w:b/>
          <w:bCs w:val="0"/>
          <w:szCs w:val="24"/>
        </w:rPr>
      </w:pPr>
    </w:p>
    <w:p w14:paraId="52B3EA38" w14:textId="51AF1246" w:rsidR="00DF6416" w:rsidRDefault="00DF6416" w:rsidP="00DF6416">
      <w:pPr>
        <w:pStyle w:val="BodyText3"/>
        <w:numPr>
          <w:ilvl w:val="0"/>
          <w:numId w:val="28"/>
        </w:numPr>
        <w:jc w:val="left"/>
        <w:rPr>
          <w:rFonts w:asciiTheme="minorHAnsi" w:hAnsiTheme="minorHAnsi" w:cs="Arial"/>
          <w:sz w:val="22"/>
          <w:szCs w:val="22"/>
        </w:rPr>
      </w:pPr>
      <w:r>
        <w:rPr>
          <w:rFonts w:asciiTheme="minorHAnsi" w:hAnsiTheme="minorHAnsi" w:cs="Arial"/>
          <w:sz w:val="22"/>
          <w:szCs w:val="22"/>
        </w:rPr>
        <w:t>All quality activities will be recorded in the agreed format, referencing the Internal Audit Policy OM-SU-0018.</w:t>
      </w:r>
    </w:p>
    <w:p w14:paraId="247F903C" w14:textId="2CDB833D" w:rsidR="00DF6416" w:rsidRDefault="00DF6416" w:rsidP="00DF6416">
      <w:pPr>
        <w:pStyle w:val="BodyText3"/>
        <w:numPr>
          <w:ilvl w:val="0"/>
          <w:numId w:val="28"/>
        </w:numPr>
        <w:jc w:val="left"/>
        <w:rPr>
          <w:rFonts w:asciiTheme="minorHAnsi" w:hAnsiTheme="minorHAnsi" w:cs="Arial"/>
          <w:sz w:val="22"/>
          <w:szCs w:val="22"/>
        </w:rPr>
      </w:pPr>
      <w:r>
        <w:rPr>
          <w:rFonts w:asciiTheme="minorHAnsi" w:hAnsiTheme="minorHAnsi" w:cs="Arial"/>
          <w:sz w:val="22"/>
          <w:szCs w:val="22"/>
        </w:rPr>
        <w:t>The Internal Audit Schedule (O-F-0005) will be maintained to track compliance</w:t>
      </w:r>
      <w:r w:rsidR="006C6E5A">
        <w:rPr>
          <w:rFonts w:asciiTheme="minorHAnsi" w:hAnsiTheme="minorHAnsi" w:cs="Arial"/>
          <w:sz w:val="22"/>
          <w:szCs w:val="22"/>
        </w:rPr>
        <w:t>.</w:t>
      </w:r>
    </w:p>
    <w:p w14:paraId="4D169260" w14:textId="4977359C" w:rsidR="00DF6416" w:rsidRDefault="00DF6416" w:rsidP="00DF6416">
      <w:pPr>
        <w:pStyle w:val="BodyText3"/>
        <w:numPr>
          <w:ilvl w:val="0"/>
          <w:numId w:val="28"/>
        </w:numPr>
        <w:jc w:val="left"/>
        <w:rPr>
          <w:rFonts w:asciiTheme="minorHAnsi" w:hAnsiTheme="minorHAnsi" w:cs="Arial"/>
          <w:sz w:val="22"/>
          <w:szCs w:val="22"/>
        </w:rPr>
      </w:pPr>
      <w:r>
        <w:rPr>
          <w:rFonts w:asciiTheme="minorHAnsi" w:hAnsiTheme="minorHAnsi" w:cs="Arial"/>
          <w:sz w:val="22"/>
          <w:szCs w:val="22"/>
        </w:rPr>
        <w:t>Quality outcomes will be reported to governing bodies, senior management and stakeholders</w:t>
      </w:r>
      <w:r w:rsidR="006C6E5A">
        <w:rPr>
          <w:rFonts w:asciiTheme="minorHAnsi" w:hAnsiTheme="minorHAnsi" w:cs="Arial"/>
          <w:sz w:val="22"/>
          <w:szCs w:val="22"/>
        </w:rPr>
        <w:t>.</w:t>
      </w:r>
    </w:p>
    <w:p w14:paraId="2AAD491E" w14:textId="703B8C44" w:rsidR="00DF6416" w:rsidRDefault="00DF6416" w:rsidP="00DF6416">
      <w:pPr>
        <w:pStyle w:val="BodyText3"/>
        <w:numPr>
          <w:ilvl w:val="0"/>
          <w:numId w:val="28"/>
        </w:numPr>
        <w:jc w:val="left"/>
        <w:rPr>
          <w:rFonts w:asciiTheme="minorHAnsi" w:hAnsiTheme="minorHAnsi" w:cs="Arial"/>
          <w:sz w:val="22"/>
          <w:szCs w:val="22"/>
        </w:rPr>
      </w:pPr>
      <w:r>
        <w:rPr>
          <w:rFonts w:asciiTheme="minorHAnsi" w:hAnsiTheme="minorHAnsi" w:cs="Arial"/>
          <w:sz w:val="22"/>
          <w:szCs w:val="22"/>
        </w:rPr>
        <w:t>All major changes must be approved by the Chief Executive Officer</w:t>
      </w:r>
      <w:r w:rsidR="006C6E5A">
        <w:rPr>
          <w:rFonts w:asciiTheme="minorHAnsi" w:hAnsiTheme="minorHAnsi" w:cs="Arial"/>
          <w:sz w:val="22"/>
          <w:szCs w:val="22"/>
        </w:rPr>
        <w:t>.</w:t>
      </w:r>
    </w:p>
    <w:p w14:paraId="15356BA6" w14:textId="72664C38" w:rsidR="00DF6416" w:rsidRDefault="00DF6416" w:rsidP="00DF6416">
      <w:pPr>
        <w:pStyle w:val="BodyText3"/>
        <w:jc w:val="left"/>
        <w:rPr>
          <w:rFonts w:asciiTheme="minorHAnsi" w:hAnsiTheme="minorHAnsi" w:cs="Arial"/>
          <w:sz w:val="22"/>
          <w:szCs w:val="22"/>
        </w:rPr>
      </w:pPr>
    </w:p>
    <w:p w14:paraId="58132677" w14:textId="0152D019" w:rsidR="00DF6416" w:rsidRDefault="00DF6416" w:rsidP="00DF6416">
      <w:pPr>
        <w:pStyle w:val="BodyText3"/>
        <w:jc w:val="left"/>
        <w:rPr>
          <w:rFonts w:asciiTheme="minorHAnsi" w:hAnsiTheme="minorHAnsi" w:cs="Arial"/>
          <w:b/>
          <w:bCs w:val="0"/>
          <w:szCs w:val="24"/>
        </w:rPr>
      </w:pPr>
      <w:r w:rsidRPr="005B3831">
        <w:rPr>
          <w:rFonts w:asciiTheme="minorHAnsi" w:hAnsiTheme="minorHAnsi" w:cs="Arial"/>
          <w:b/>
          <w:bCs w:val="0"/>
          <w:szCs w:val="24"/>
        </w:rPr>
        <w:t>Minimum Annual Quality Activities per Department</w:t>
      </w:r>
    </w:p>
    <w:p w14:paraId="09F29738" w14:textId="77777777" w:rsidR="00BC7550" w:rsidRPr="005B3831" w:rsidRDefault="00BC7550" w:rsidP="00DF6416">
      <w:pPr>
        <w:pStyle w:val="BodyText3"/>
        <w:jc w:val="left"/>
        <w:rPr>
          <w:rFonts w:asciiTheme="minorHAnsi" w:hAnsiTheme="minorHAnsi" w:cs="Arial"/>
          <w:b/>
          <w:bCs w:val="0"/>
          <w:szCs w:val="24"/>
        </w:rPr>
      </w:pPr>
    </w:p>
    <w:p w14:paraId="3CBA3AF8" w14:textId="2CFBCC3B" w:rsidR="00DF6416" w:rsidRDefault="00AF1D6D" w:rsidP="00DF6416">
      <w:pPr>
        <w:pStyle w:val="BodyText3"/>
        <w:jc w:val="left"/>
        <w:rPr>
          <w:rFonts w:asciiTheme="minorHAnsi" w:hAnsiTheme="minorHAnsi" w:cs="Arial"/>
          <w:sz w:val="22"/>
          <w:szCs w:val="22"/>
        </w:rPr>
      </w:pPr>
      <w:r>
        <w:rPr>
          <w:rFonts w:asciiTheme="minorHAnsi" w:hAnsiTheme="minorHAnsi" w:cs="Arial"/>
          <w:sz w:val="22"/>
          <w:szCs w:val="22"/>
        </w:rPr>
        <w:t>Clinical and Administration Managers</w:t>
      </w:r>
      <w:r w:rsidR="00DF6416">
        <w:rPr>
          <w:rFonts w:asciiTheme="minorHAnsi" w:hAnsiTheme="minorHAnsi" w:cs="Arial"/>
          <w:sz w:val="22"/>
          <w:szCs w:val="22"/>
        </w:rPr>
        <w:t xml:space="preserve"> must undertake at least one quality activity annually from the following categories –</w:t>
      </w:r>
    </w:p>
    <w:p w14:paraId="2050E5EC" w14:textId="77777777" w:rsidR="00BC7550" w:rsidRDefault="00BC7550" w:rsidP="00DF6416">
      <w:pPr>
        <w:pStyle w:val="BodyText3"/>
        <w:jc w:val="left"/>
        <w:rPr>
          <w:rFonts w:asciiTheme="minorHAnsi" w:hAnsiTheme="minorHAnsi" w:cs="Arial"/>
          <w:sz w:val="22"/>
          <w:szCs w:val="22"/>
        </w:rPr>
      </w:pPr>
    </w:p>
    <w:p w14:paraId="1579B999" w14:textId="10963B8E" w:rsidR="00DF6416" w:rsidRDefault="00DF6416" w:rsidP="00DF6416">
      <w:pPr>
        <w:pStyle w:val="BodyText3"/>
        <w:numPr>
          <w:ilvl w:val="0"/>
          <w:numId w:val="29"/>
        </w:numPr>
        <w:jc w:val="left"/>
        <w:rPr>
          <w:rFonts w:asciiTheme="minorHAnsi" w:hAnsiTheme="minorHAnsi" w:cs="Arial"/>
          <w:sz w:val="22"/>
          <w:szCs w:val="22"/>
        </w:rPr>
      </w:pPr>
      <w:r>
        <w:rPr>
          <w:rFonts w:asciiTheme="minorHAnsi" w:hAnsiTheme="minorHAnsi" w:cs="Arial"/>
          <w:sz w:val="22"/>
          <w:szCs w:val="22"/>
        </w:rPr>
        <w:t>Quality Assurance – Compliance audits, incident reporting, benchmarking</w:t>
      </w:r>
      <w:r w:rsidR="006C6E5A">
        <w:rPr>
          <w:rFonts w:asciiTheme="minorHAnsi" w:hAnsiTheme="minorHAnsi" w:cs="Arial"/>
          <w:sz w:val="22"/>
          <w:szCs w:val="22"/>
        </w:rPr>
        <w:t>.</w:t>
      </w:r>
    </w:p>
    <w:p w14:paraId="0865B3AE" w14:textId="7B3BFA3D" w:rsidR="00DF6416" w:rsidRDefault="00DF6416" w:rsidP="00DF6416">
      <w:pPr>
        <w:pStyle w:val="BodyText3"/>
        <w:numPr>
          <w:ilvl w:val="0"/>
          <w:numId w:val="29"/>
        </w:numPr>
        <w:jc w:val="left"/>
        <w:rPr>
          <w:rFonts w:asciiTheme="minorHAnsi" w:hAnsiTheme="minorHAnsi" w:cs="Arial"/>
          <w:sz w:val="22"/>
          <w:szCs w:val="22"/>
        </w:rPr>
      </w:pPr>
      <w:r>
        <w:rPr>
          <w:rFonts w:asciiTheme="minorHAnsi" w:hAnsiTheme="minorHAnsi" w:cs="Arial"/>
          <w:sz w:val="22"/>
          <w:szCs w:val="22"/>
        </w:rPr>
        <w:t>Satisfaction Surveys – Staff, patient, consumer, supplier feedback analysis</w:t>
      </w:r>
      <w:r w:rsidR="006C6E5A">
        <w:rPr>
          <w:rFonts w:asciiTheme="minorHAnsi" w:hAnsiTheme="minorHAnsi" w:cs="Arial"/>
          <w:sz w:val="22"/>
          <w:szCs w:val="22"/>
        </w:rPr>
        <w:t>.</w:t>
      </w:r>
    </w:p>
    <w:p w14:paraId="29974AE4" w14:textId="3C741F8C" w:rsidR="00DF6416" w:rsidRPr="005B3831" w:rsidRDefault="00DF6416" w:rsidP="005B3831">
      <w:pPr>
        <w:pStyle w:val="BodyText3"/>
        <w:numPr>
          <w:ilvl w:val="0"/>
          <w:numId w:val="29"/>
        </w:numPr>
        <w:jc w:val="left"/>
        <w:rPr>
          <w:rFonts w:asciiTheme="minorHAnsi" w:hAnsiTheme="minorHAnsi" w:cs="Arial"/>
          <w:sz w:val="22"/>
          <w:szCs w:val="22"/>
        </w:rPr>
      </w:pPr>
      <w:r>
        <w:rPr>
          <w:rFonts w:asciiTheme="minorHAnsi" w:hAnsiTheme="minorHAnsi" w:cs="Arial"/>
          <w:sz w:val="22"/>
          <w:szCs w:val="22"/>
        </w:rPr>
        <w:t>Continuous Improvement – Identifying gaps, implementing corrective actions, and monitoring progress</w:t>
      </w:r>
      <w:r w:rsidR="006C6E5A">
        <w:rPr>
          <w:rFonts w:asciiTheme="minorHAnsi" w:hAnsiTheme="minorHAnsi" w:cs="Arial"/>
          <w:sz w:val="22"/>
          <w:szCs w:val="22"/>
        </w:rPr>
        <w:t>.</w:t>
      </w:r>
    </w:p>
    <w:p w14:paraId="3CA8EAB6" w14:textId="77777777" w:rsidR="00805135" w:rsidRPr="00860A61" w:rsidRDefault="00805135" w:rsidP="00AA0386">
      <w:pPr>
        <w:pStyle w:val="BodyText3"/>
        <w:jc w:val="left"/>
        <w:rPr>
          <w:rFonts w:asciiTheme="minorHAnsi" w:hAnsiTheme="minorHAnsi" w:cs="Arial"/>
          <w:b/>
          <w:bCs w:val="0"/>
          <w:sz w:val="22"/>
          <w:szCs w:val="22"/>
        </w:rPr>
      </w:pPr>
    </w:p>
    <w:p w14:paraId="3741155E" w14:textId="3A9FB928" w:rsidR="00805135" w:rsidRDefault="00DF6416" w:rsidP="00AA0386">
      <w:pPr>
        <w:pStyle w:val="BodyText3"/>
        <w:jc w:val="left"/>
        <w:rPr>
          <w:rFonts w:asciiTheme="minorHAnsi" w:hAnsiTheme="minorHAnsi" w:cs="Arial"/>
          <w:b/>
          <w:bCs w:val="0"/>
          <w:szCs w:val="24"/>
        </w:rPr>
      </w:pPr>
      <w:r w:rsidRPr="005B3831">
        <w:rPr>
          <w:rFonts w:asciiTheme="minorHAnsi" w:hAnsiTheme="minorHAnsi" w:cs="Arial"/>
          <w:b/>
          <w:bCs w:val="0"/>
          <w:szCs w:val="24"/>
        </w:rPr>
        <w:t>Outcomes &amp; Evaluation</w:t>
      </w:r>
    </w:p>
    <w:p w14:paraId="7A40F102" w14:textId="77777777" w:rsidR="00BC7550" w:rsidRPr="005B3831" w:rsidRDefault="00BC7550" w:rsidP="00AA0386">
      <w:pPr>
        <w:pStyle w:val="BodyText3"/>
        <w:jc w:val="left"/>
        <w:rPr>
          <w:rFonts w:asciiTheme="minorHAnsi" w:hAnsiTheme="minorHAnsi" w:cs="Arial"/>
          <w:b/>
          <w:bCs w:val="0"/>
          <w:szCs w:val="24"/>
        </w:rPr>
      </w:pPr>
    </w:p>
    <w:p w14:paraId="5E7C4A41" w14:textId="75C6FF5E" w:rsidR="00BC7550" w:rsidRDefault="00DF6416" w:rsidP="00AA0386">
      <w:pPr>
        <w:pStyle w:val="BodyText3"/>
        <w:jc w:val="left"/>
        <w:rPr>
          <w:rFonts w:asciiTheme="minorHAnsi" w:hAnsiTheme="minorHAnsi" w:cs="Arial"/>
          <w:sz w:val="22"/>
          <w:szCs w:val="22"/>
        </w:rPr>
      </w:pPr>
      <w:r w:rsidRPr="005B3831">
        <w:rPr>
          <w:rFonts w:asciiTheme="minorHAnsi" w:hAnsiTheme="minorHAnsi" w:cs="Arial"/>
          <w:sz w:val="22"/>
          <w:szCs w:val="22"/>
        </w:rPr>
        <w:t xml:space="preserve">The effectiveness of this policy will be measured through </w:t>
      </w:r>
      <w:r w:rsidR="00BC7550">
        <w:rPr>
          <w:rFonts w:asciiTheme="minorHAnsi" w:hAnsiTheme="minorHAnsi" w:cs="Arial"/>
          <w:sz w:val="22"/>
          <w:szCs w:val="22"/>
        </w:rPr>
        <w:t>–</w:t>
      </w:r>
    </w:p>
    <w:p w14:paraId="0F8533CC" w14:textId="68AD6158" w:rsidR="00DF6416" w:rsidRPr="005B3831" w:rsidRDefault="00DF6416" w:rsidP="00AA0386">
      <w:pPr>
        <w:pStyle w:val="BodyText3"/>
        <w:jc w:val="left"/>
        <w:rPr>
          <w:rFonts w:asciiTheme="minorHAnsi" w:hAnsiTheme="minorHAnsi" w:cs="Arial"/>
          <w:sz w:val="22"/>
          <w:szCs w:val="22"/>
        </w:rPr>
      </w:pPr>
      <w:r w:rsidRPr="005B3831">
        <w:rPr>
          <w:rFonts w:asciiTheme="minorHAnsi" w:hAnsiTheme="minorHAnsi" w:cs="Arial"/>
          <w:sz w:val="22"/>
          <w:szCs w:val="22"/>
        </w:rPr>
        <w:t xml:space="preserve"> </w:t>
      </w:r>
    </w:p>
    <w:p w14:paraId="56DD9B67" w14:textId="2FC82843" w:rsidR="00805135" w:rsidRPr="005B3831" w:rsidRDefault="00AF1D6D" w:rsidP="00AF1D6D">
      <w:pPr>
        <w:pStyle w:val="BodyText3"/>
        <w:numPr>
          <w:ilvl w:val="0"/>
          <w:numId w:val="30"/>
        </w:numPr>
        <w:jc w:val="left"/>
        <w:rPr>
          <w:rFonts w:asciiTheme="minorHAnsi" w:hAnsiTheme="minorHAnsi" w:cs="Arial"/>
          <w:sz w:val="22"/>
          <w:szCs w:val="22"/>
        </w:rPr>
      </w:pPr>
      <w:r w:rsidRPr="005B3831">
        <w:rPr>
          <w:rFonts w:asciiTheme="minorHAnsi" w:hAnsiTheme="minorHAnsi" w:cs="Arial"/>
          <w:sz w:val="22"/>
          <w:szCs w:val="22"/>
        </w:rPr>
        <w:t>&gt;90% patient/consumer satisfaction rates</w:t>
      </w:r>
      <w:r w:rsidR="006C6E5A">
        <w:rPr>
          <w:rFonts w:asciiTheme="minorHAnsi" w:hAnsiTheme="minorHAnsi" w:cs="Arial"/>
          <w:sz w:val="22"/>
          <w:szCs w:val="22"/>
        </w:rPr>
        <w:t>.</w:t>
      </w:r>
    </w:p>
    <w:p w14:paraId="34DDBE31" w14:textId="32DDE5E0" w:rsidR="00AF1D6D" w:rsidRDefault="006C6E5A" w:rsidP="00AF1D6D">
      <w:pPr>
        <w:pStyle w:val="BodyText3"/>
        <w:numPr>
          <w:ilvl w:val="0"/>
          <w:numId w:val="30"/>
        </w:numPr>
        <w:jc w:val="left"/>
        <w:rPr>
          <w:rFonts w:asciiTheme="minorHAnsi" w:hAnsiTheme="minorHAnsi" w:cs="Arial"/>
          <w:sz w:val="22"/>
          <w:szCs w:val="22"/>
        </w:rPr>
      </w:pPr>
      <w:r>
        <w:rPr>
          <w:rFonts w:asciiTheme="minorHAnsi" w:hAnsiTheme="minorHAnsi" w:cs="Arial"/>
          <w:sz w:val="22"/>
          <w:szCs w:val="22"/>
        </w:rPr>
        <w:t>All</w:t>
      </w:r>
      <w:r w:rsidR="00AF1D6D">
        <w:rPr>
          <w:rFonts w:asciiTheme="minorHAnsi" w:hAnsiTheme="minorHAnsi" w:cs="Arial"/>
          <w:sz w:val="22"/>
          <w:szCs w:val="22"/>
        </w:rPr>
        <w:t xml:space="preserve"> departments conducting quality improvement activities annually</w:t>
      </w:r>
      <w:r>
        <w:rPr>
          <w:rFonts w:asciiTheme="minorHAnsi" w:hAnsiTheme="minorHAnsi" w:cs="Arial"/>
          <w:sz w:val="22"/>
          <w:szCs w:val="22"/>
        </w:rPr>
        <w:t>.</w:t>
      </w:r>
    </w:p>
    <w:p w14:paraId="20212BF4" w14:textId="2C1BEC40" w:rsidR="00AF1D6D" w:rsidRDefault="006C6E5A" w:rsidP="00AF1D6D">
      <w:pPr>
        <w:pStyle w:val="BodyText3"/>
        <w:numPr>
          <w:ilvl w:val="0"/>
          <w:numId w:val="30"/>
        </w:numPr>
        <w:jc w:val="left"/>
        <w:rPr>
          <w:rFonts w:asciiTheme="minorHAnsi" w:hAnsiTheme="minorHAnsi" w:cs="Arial"/>
          <w:sz w:val="22"/>
          <w:szCs w:val="22"/>
        </w:rPr>
      </w:pPr>
      <w:r>
        <w:rPr>
          <w:rFonts w:asciiTheme="minorHAnsi" w:hAnsiTheme="minorHAnsi" w:cs="Arial"/>
          <w:sz w:val="22"/>
          <w:szCs w:val="22"/>
        </w:rPr>
        <w:t>A majority</w:t>
      </w:r>
      <w:r w:rsidR="00AF1D6D">
        <w:rPr>
          <w:rFonts w:asciiTheme="minorHAnsi" w:hAnsiTheme="minorHAnsi" w:cs="Arial"/>
          <w:sz w:val="22"/>
          <w:szCs w:val="22"/>
        </w:rPr>
        <w:t xml:space="preserve"> of staff participating in quality education initiatives</w:t>
      </w:r>
      <w:r>
        <w:rPr>
          <w:rFonts w:asciiTheme="minorHAnsi" w:hAnsiTheme="minorHAnsi" w:cs="Arial"/>
          <w:sz w:val="22"/>
          <w:szCs w:val="22"/>
        </w:rPr>
        <w:t>.</w:t>
      </w:r>
    </w:p>
    <w:p w14:paraId="08AC5D1E" w14:textId="111FDA10" w:rsidR="00AF1D6D" w:rsidRDefault="00AF1D6D" w:rsidP="00AF1D6D">
      <w:pPr>
        <w:pStyle w:val="BodyText3"/>
        <w:numPr>
          <w:ilvl w:val="0"/>
          <w:numId w:val="30"/>
        </w:numPr>
        <w:jc w:val="left"/>
        <w:rPr>
          <w:rFonts w:asciiTheme="minorHAnsi" w:hAnsiTheme="minorHAnsi" w:cs="Arial"/>
          <w:sz w:val="22"/>
          <w:szCs w:val="22"/>
        </w:rPr>
      </w:pPr>
      <w:r>
        <w:rPr>
          <w:rFonts w:asciiTheme="minorHAnsi" w:hAnsiTheme="minorHAnsi" w:cs="Arial"/>
          <w:sz w:val="22"/>
          <w:szCs w:val="22"/>
        </w:rPr>
        <w:t>Compliance with National Safety and Quality Health Service (NSQHS) Standards and Victorian Health Regulations</w:t>
      </w:r>
      <w:r w:rsidR="006C6E5A">
        <w:rPr>
          <w:rFonts w:asciiTheme="minorHAnsi" w:hAnsiTheme="minorHAnsi" w:cs="Arial"/>
          <w:sz w:val="22"/>
          <w:szCs w:val="22"/>
        </w:rPr>
        <w:t>.</w:t>
      </w:r>
    </w:p>
    <w:p w14:paraId="207261BE" w14:textId="77777777" w:rsidR="00AF1D6D" w:rsidRDefault="00AF1D6D" w:rsidP="00AF1D6D">
      <w:pPr>
        <w:pStyle w:val="BodyText3"/>
        <w:jc w:val="left"/>
        <w:rPr>
          <w:rFonts w:asciiTheme="minorHAnsi" w:hAnsiTheme="minorHAnsi" w:cs="Arial"/>
          <w:sz w:val="22"/>
          <w:szCs w:val="22"/>
        </w:rPr>
      </w:pPr>
    </w:p>
    <w:p w14:paraId="7A3FDDAA" w14:textId="438BC44D" w:rsidR="00AF1D6D" w:rsidRPr="005B3831" w:rsidRDefault="00AF1D6D" w:rsidP="00AF1D6D">
      <w:pPr>
        <w:pStyle w:val="BodyText3"/>
        <w:jc w:val="left"/>
        <w:rPr>
          <w:rFonts w:asciiTheme="minorHAnsi" w:hAnsiTheme="minorHAnsi" w:cs="Arial"/>
          <w:sz w:val="22"/>
          <w:szCs w:val="22"/>
        </w:rPr>
      </w:pPr>
      <w:r>
        <w:rPr>
          <w:rFonts w:asciiTheme="minorHAnsi" w:hAnsiTheme="minorHAnsi" w:cs="Arial"/>
          <w:sz w:val="22"/>
          <w:szCs w:val="22"/>
        </w:rPr>
        <w:t>Keilor Private Hospital remains committed to fostering a culture of excellence, accountability, and continuous learning to ensure the highest quality of care for our patients and the broader community.</w:t>
      </w:r>
    </w:p>
    <w:p w14:paraId="0E9F999C" w14:textId="77777777" w:rsidR="004B0B6F" w:rsidRPr="00860A61" w:rsidRDefault="004B0B6F" w:rsidP="00AA0386">
      <w:pPr>
        <w:pStyle w:val="BodyText3"/>
        <w:jc w:val="left"/>
        <w:rPr>
          <w:rFonts w:asciiTheme="minorHAnsi" w:hAnsiTheme="minorHAnsi" w:cs="Arial"/>
          <w:b/>
          <w:bCs w:val="0"/>
          <w:sz w:val="22"/>
          <w:szCs w:val="22"/>
        </w:rPr>
      </w:pPr>
    </w:p>
    <w:p w14:paraId="505DC68D" w14:textId="77777777" w:rsidR="001649B8" w:rsidRPr="005B3831" w:rsidRDefault="00BE4DC5" w:rsidP="00AA0386">
      <w:pPr>
        <w:pStyle w:val="BodyText3"/>
        <w:jc w:val="left"/>
        <w:rPr>
          <w:rFonts w:asciiTheme="minorHAnsi" w:hAnsiTheme="minorHAnsi" w:cs="Arial"/>
          <w:b/>
          <w:bCs w:val="0"/>
          <w:szCs w:val="24"/>
        </w:rPr>
      </w:pPr>
      <w:r w:rsidRPr="005B3831">
        <w:rPr>
          <w:rFonts w:asciiTheme="minorHAnsi" w:hAnsiTheme="minorHAnsi" w:cs="Arial"/>
          <w:b/>
          <w:bCs w:val="0"/>
          <w:szCs w:val="24"/>
        </w:rPr>
        <w:t>Timeframe for review:</w:t>
      </w:r>
      <w:r w:rsidRPr="005B3831">
        <w:rPr>
          <w:rFonts w:asciiTheme="minorHAnsi" w:hAnsiTheme="minorHAnsi" w:cs="Arial"/>
          <w:b/>
          <w:bCs w:val="0"/>
          <w:szCs w:val="24"/>
        </w:rPr>
        <w:tab/>
      </w:r>
    </w:p>
    <w:p w14:paraId="3896F1E7" w14:textId="3957F1A4" w:rsidR="004D2EB3" w:rsidRPr="00860A61" w:rsidRDefault="00AF1D6D" w:rsidP="004D2EB3">
      <w:pPr>
        <w:rPr>
          <w:rFonts w:asciiTheme="minorHAnsi" w:hAnsiTheme="minorHAnsi" w:cs="Arial"/>
          <w:sz w:val="22"/>
          <w:szCs w:val="22"/>
        </w:rPr>
      </w:pPr>
      <w:r>
        <w:rPr>
          <w:rFonts w:asciiTheme="minorHAnsi" w:hAnsiTheme="minorHAnsi" w:cs="Arial"/>
          <w:sz w:val="22"/>
          <w:szCs w:val="22"/>
        </w:rPr>
        <w:t>Three</w:t>
      </w:r>
      <w:r w:rsidRPr="00860A61">
        <w:rPr>
          <w:rFonts w:asciiTheme="minorHAnsi" w:hAnsiTheme="minorHAnsi" w:cs="Arial"/>
          <w:sz w:val="22"/>
          <w:szCs w:val="22"/>
        </w:rPr>
        <w:t xml:space="preserve"> </w:t>
      </w:r>
      <w:r w:rsidR="004D2EB3" w:rsidRPr="00860A61">
        <w:rPr>
          <w:rFonts w:asciiTheme="minorHAnsi" w:hAnsiTheme="minorHAnsi" w:cs="Arial"/>
          <w:sz w:val="22"/>
          <w:szCs w:val="22"/>
        </w:rPr>
        <w:t>years from approval date or when evaluation indicates that significant non-compliance exists.</w:t>
      </w:r>
    </w:p>
    <w:p w14:paraId="11CB0D3A" w14:textId="77777777" w:rsidR="000776F0" w:rsidRPr="00860A61" w:rsidRDefault="000776F0" w:rsidP="00AA0386">
      <w:pPr>
        <w:pStyle w:val="BodyText3"/>
        <w:jc w:val="left"/>
        <w:rPr>
          <w:rFonts w:asciiTheme="minorHAnsi" w:hAnsiTheme="minorHAnsi" w:cs="Arial"/>
          <w:sz w:val="22"/>
          <w:szCs w:val="22"/>
        </w:rPr>
      </w:pPr>
    </w:p>
    <w:p w14:paraId="35C72989" w14:textId="77777777" w:rsidR="00F93504" w:rsidRPr="005B3831" w:rsidRDefault="009067EA" w:rsidP="00AA0386">
      <w:pPr>
        <w:pStyle w:val="Heading7"/>
        <w:jc w:val="left"/>
        <w:rPr>
          <w:rFonts w:asciiTheme="minorHAnsi" w:hAnsiTheme="minorHAnsi"/>
          <w:sz w:val="24"/>
          <w:szCs w:val="24"/>
          <w:u w:val="none"/>
        </w:rPr>
      </w:pPr>
      <w:r w:rsidRPr="005B3831">
        <w:rPr>
          <w:rFonts w:asciiTheme="minorHAnsi" w:hAnsiTheme="minorHAnsi"/>
          <w:sz w:val="24"/>
          <w:szCs w:val="24"/>
          <w:u w:val="none"/>
        </w:rPr>
        <w:t>Supporting Documents/Documents of interest</w:t>
      </w:r>
    </w:p>
    <w:p w14:paraId="43714A4D" w14:textId="45F9C245" w:rsidR="00F85B89" w:rsidRPr="00860A61" w:rsidRDefault="00F85B89" w:rsidP="00AA0386">
      <w:pPr>
        <w:rPr>
          <w:rFonts w:asciiTheme="minorHAnsi" w:hAnsiTheme="minorHAnsi" w:cs="Arial"/>
          <w:sz w:val="22"/>
          <w:szCs w:val="22"/>
        </w:rPr>
      </w:pPr>
      <w:r w:rsidRPr="00860A61">
        <w:rPr>
          <w:rFonts w:asciiTheme="minorHAnsi" w:hAnsiTheme="minorHAnsi" w:cs="Arial"/>
          <w:sz w:val="22"/>
          <w:szCs w:val="22"/>
        </w:rPr>
        <w:t>N</w:t>
      </w:r>
      <w:r w:rsidR="00AF1D6D">
        <w:rPr>
          <w:rFonts w:asciiTheme="minorHAnsi" w:hAnsiTheme="minorHAnsi" w:cs="Arial"/>
          <w:sz w:val="22"/>
          <w:szCs w:val="22"/>
        </w:rPr>
        <w:t>ational Safety and Quality Health Service (NSQHS) Standards</w:t>
      </w:r>
    </w:p>
    <w:p w14:paraId="60CD5D08" w14:textId="77777777" w:rsidR="00AA0386" w:rsidRPr="00860A61" w:rsidRDefault="00AA0386" w:rsidP="00AA0386">
      <w:pPr>
        <w:rPr>
          <w:rFonts w:asciiTheme="minorHAnsi" w:hAnsiTheme="minorHAnsi" w:cs="Arial"/>
          <w:bCs/>
          <w:sz w:val="22"/>
          <w:szCs w:val="22"/>
        </w:rPr>
      </w:pPr>
      <w:r w:rsidRPr="00860A61">
        <w:rPr>
          <w:rFonts w:asciiTheme="minorHAnsi" w:hAnsiTheme="minorHAnsi" w:cs="Arial"/>
          <w:bCs/>
          <w:sz w:val="22"/>
          <w:szCs w:val="22"/>
        </w:rPr>
        <w:t xml:space="preserve">Internal Audits </w:t>
      </w:r>
      <w:r w:rsidR="009F4C7B" w:rsidRPr="00860A61">
        <w:rPr>
          <w:rFonts w:asciiTheme="minorHAnsi" w:hAnsiTheme="minorHAnsi" w:cs="Arial"/>
          <w:bCs/>
          <w:sz w:val="22"/>
          <w:szCs w:val="22"/>
        </w:rPr>
        <w:t xml:space="preserve">Policy </w:t>
      </w:r>
      <w:r w:rsidRPr="00860A61">
        <w:rPr>
          <w:rFonts w:asciiTheme="minorHAnsi" w:hAnsiTheme="minorHAnsi" w:cs="Arial"/>
          <w:bCs/>
          <w:sz w:val="22"/>
          <w:szCs w:val="22"/>
        </w:rPr>
        <w:t>- OM-SU-0018</w:t>
      </w:r>
    </w:p>
    <w:p w14:paraId="0AFDA381" w14:textId="42B631CE" w:rsidR="004D2EB3" w:rsidRPr="00860A61" w:rsidRDefault="004D2EB3" w:rsidP="00AA0386">
      <w:pPr>
        <w:rPr>
          <w:rFonts w:asciiTheme="minorHAnsi" w:hAnsiTheme="minorHAnsi" w:cs="Arial"/>
          <w:bCs/>
          <w:sz w:val="22"/>
          <w:szCs w:val="22"/>
        </w:rPr>
      </w:pPr>
      <w:r w:rsidRPr="00860A61">
        <w:rPr>
          <w:rFonts w:asciiTheme="minorHAnsi" w:hAnsiTheme="minorHAnsi" w:cs="Arial"/>
          <w:bCs/>
          <w:sz w:val="22"/>
          <w:szCs w:val="22"/>
        </w:rPr>
        <w:t>Internal Audit Schedule - O-F-0005</w:t>
      </w:r>
    </w:p>
    <w:sectPr w:rsidR="004D2EB3" w:rsidRPr="00860A61" w:rsidSect="005B3831">
      <w:footerReference w:type="default" r:id="rId8"/>
      <w:pgSz w:w="11906" w:h="16838"/>
      <w:pgMar w:top="1418" w:right="1644" w:bottom="1418" w:left="1644"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EE1BA" w14:textId="77777777" w:rsidR="00727DE7" w:rsidRDefault="00727DE7">
      <w:r>
        <w:separator/>
      </w:r>
    </w:p>
  </w:endnote>
  <w:endnote w:type="continuationSeparator" w:id="0">
    <w:p w14:paraId="08355721" w14:textId="77777777" w:rsidR="00727DE7" w:rsidRDefault="0072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842"/>
      <w:gridCol w:w="1418"/>
    </w:tblGrid>
    <w:tr w:rsidR="007E6971" w14:paraId="765687DB" w14:textId="77777777" w:rsidTr="004F626A">
      <w:trPr>
        <w:trHeight w:val="456"/>
        <w:jc w:val="center"/>
      </w:trPr>
      <w:tc>
        <w:tcPr>
          <w:tcW w:w="5529" w:type="dxa"/>
        </w:tcPr>
        <w:p w14:paraId="49FCB418" w14:textId="77777777" w:rsidR="007E6971" w:rsidRPr="005B3831" w:rsidRDefault="007E6971">
          <w:pPr>
            <w:pStyle w:val="Footer"/>
            <w:rPr>
              <w:rFonts w:ascii="Calibri" w:hAnsi="Calibri" w:cs="Calibri"/>
              <w:sz w:val="18"/>
              <w:szCs w:val="18"/>
            </w:rPr>
          </w:pPr>
          <w:r w:rsidRPr="005B3831">
            <w:rPr>
              <w:rFonts w:ascii="Calibri" w:hAnsi="Calibri" w:cs="Calibri"/>
              <w:b/>
              <w:bCs/>
              <w:sz w:val="18"/>
              <w:szCs w:val="18"/>
            </w:rPr>
            <w:t>Approved by:</w:t>
          </w:r>
          <w:r w:rsidRPr="005B3831">
            <w:rPr>
              <w:rFonts w:ascii="Calibri" w:hAnsi="Calibri" w:cs="Calibri"/>
              <w:sz w:val="18"/>
              <w:szCs w:val="18"/>
            </w:rPr>
            <w:t xml:space="preserve"> CEO  </w:t>
          </w:r>
        </w:p>
        <w:p w14:paraId="7E95D475" w14:textId="62A18C44" w:rsidR="007E6971" w:rsidRPr="005B3831" w:rsidRDefault="007E6971">
          <w:pPr>
            <w:pStyle w:val="Footer"/>
            <w:rPr>
              <w:rFonts w:ascii="Calibri" w:hAnsi="Calibri" w:cs="Calibri"/>
              <w:sz w:val="18"/>
              <w:szCs w:val="18"/>
            </w:rPr>
          </w:pPr>
        </w:p>
      </w:tc>
      <w:tc>
        <w:tcPr>
          <w:tcW w:w="1842" w:type="dxa"/>
        </w:tcPr>
        <w:p w14:paraId="55048CB5" w14:textId="5F9691D2" w:rsidR="007E6971" w:rsidRPr="005B3831" w:rsidRDefault="00AF1D6D" w:rsidP="004B0B6F">
          <w:pPr>
            <w:pStyle w:val="Footer"/>
            <w:rPr>
              <w:rFonts w:ascii="Calibri" w:hAnsi="Calibri" w:cs="Calibri"/>
              <w:sz w:val="18"/>
              <w:szCs w:val="18"/>
            </w:rPr>
          </w:pPr>
          <w:r>
            <w:rPr>
              <w:rFonts w:ascii="Calibri" w:hAnsi="Calibri" w:cs="Calibri"/>
              <w:sz w:val="18"/>
              <w:szCs w:val="18"/>
            </w:rPr>
            <w:t>5</w:t>
          </w:r>
          <w:r w:rsidRPr="005B3831">
            <w:rPr>
              <w:rFonts w:ascii="Calibri" w:hAnsi="Calibri" w:cs="Calibri"/>
              <w:sz w:val="18"/>
              <w:szCs w:val="18"/>
              <w:vertAlign w:val="superscript"/>
            </w:rPr>
            <w:t>th</w:t>
          </w:r>
          <w:r>
            <w:rPr>
              <w:rFonts w:ascii="Calibri" w:hAnsi="Calibri" w:cs="Calibri"/>
              <w:sz w:val="18"/>
              <w:szCs w:val="18"/>
            </w:rPr>
            <w:t xml:space="preserve"> February 2025</w:t>
          </w:r>
        </w:p>
      </w:tc>
      <w:tc>
        <w:tcPr>
          <w:tcW w:w="1418" w:type="dxa"/>
        </w:tcPr>
        <w:p w14:paraId="2A96CD81" w14:textId="77777777" w:rsidR="007E6971" w:rsidRPr="005B3831" w:rsidRDefault="007E6971">
          <w:pPr>
            <w:pStyle w:val="Footer"/>
            <w:rPr>
              <w:rFonts w:ascii="Calibri" w:hAnsi="Calibri" w:cs="Calibri"/>
              <w:sz w:val="18"/>
              <w:szCs w:val="18"/>
            </w:rPr>
          </w:pPr>
          <w:r w:rsidRPr="005B3831">
            <w:rPr>
              <w:rFonts w:ascii="Calibri" w:hAnsi="Calibri" w:cs="Calibri"/>
              <w:sz w:val="18"/>
              <w:szCs w:val="18"/>
            </w:rPr>
            <w:t xml:space="preserve">Page </w:t>
          </w:r>
          <w:r w:rsidRPr="005B3831">
            <w:rPr>
              <w:rStyle w:val="PageNumber"/>
              <w:rFonts w:ascii="Calibri" w:hAnsi="Calibri" w:cs="Calibri"/>
              <w:sz w:val="18"/>
              <w:szCs w:val="18"/>
            </w:rPr>
            <w:fldChar w:fldCharType="begin"/>
          </w:r>
          <w:r w:rsidRPr="005B3831">
            <w:rPr>
              <w:rStyle w:val="PageNumber"/>
              <w:rFonts w:ascii="Calibri" w:hAnsi="Calibri" w:cs="Calibri"/>
              <w:sz w:val="18"/>
              <w:szCs w:val="18"/>
            </w:rPr>
            <w:instrText xml:space="preserve"> PAGE </w:instrText>
          </w:r>
          <w:r w:rsidRPr="005B3831">
            <w:rPr>
              <w:rStyle w:val="PageNumber"/>
              <w:rFonts w:ascii="Calibri" w:hAnsi="Calibri" w:cs="Calibri"/>
              <w:sz w:val="18"/>
              <w:szCs w:val="18"/>
            </w:rPr>
            <w:fldChar w:fldCharType="separate"/>
          </w:r>
          <w:r w:rsidR="00E051E7" w:rsidRPr="005B3831">
            <w:rPr>
              <w:rStyle w:val="PageNumber"/>
              <w:rFonts w:ascii="Calibri" w:hAnsi="Calibri" w:cs="Calibri"/>
              <w:noProof/>
              <w:sz w:val="18"/>
              <w:szCs w:val="18"/>
            </w:rPr>
            <w:t>1</w:t>
          </w:r>
          <w:r w:rsidRPr="005B3831">
            <w:rPr>
              <w:rStyle w:val="PageNumber"/>
              <w:rFonts w:ascii="Calibri" w:hAnsi="Calibri" w:cs="Calibri"/>
              <w:sz w:val="18"/>
              <w:szCs w:val="18"/>
            </w:rPr>
            <w:fldChar w:fldCharType="end"/>
          </w:r>
          <w:r w:rsidRPr="005B3831">
            <w:rPr>
              <w:rStyle w:val="PageNumber"/>
              <w:rFonts w:ascii="Calibri" w:hAnsi="Calibri" w:cs="Calibri"/>
              <w:sz w:val="18"/>
              <w:szCs w:val="18"/>
            </w:rPr>
            <w:t xml:space="preserve"> of </w:t>
          </w:r>
          <w:r w:rsidRPr="005B3831">
            <w:rPr>
              <w:rStyle w:val="PageNumber"/>
              <w:rFonts w:ascii="Calibri" w:hAnsi="Calibri" w:cs="Calibri"/>
              <w:sz w:val="18"/>
              <w:szCs w:val="18"/>
            </w:rPr>
            <w:fldChar w:fldCharType="begin"/>
          </w:r>
          <w:r w:rsidRPr="005B3831">
            <w:rPr>
              <w:rStyle w:val="PageNumber"/>
              <w:rFonts w:ascii="Calibri" w:hAnsi="Calibri" w:cs="Calibri"/>
              <w:sz w:val="18"/>
              <w:szCs w:val="18"/>
            </w:rPr>
            <w:instrText xml:space="preserve"> NUMPAGES </w:instrText>
          </w:r>
          <w:r w:rsidRPr="005B3831">
            <w:rPr>
              <w:rStyle w:val="PageNumber"/>
              <w:rFonts w:ascii="Calibri" w:hAnsi="Calibri" w:cs="Calibri"/>
              <w:sz w:val="18"/>
              <w:szCs w:val="18"/>
            </w:rPr>
            <w:fldChar w:fldCharType="separate"/>
          </w:r>
          <w:r w:rsidR="00E051E7" w:rsidRPr="005B3831">
            <w:rPr>
              <w:rStyle w:val="PageNumber"/>
              <w:rFonts w:ascii="Calibri" w:hAnsi="Calibri" w:cs="Calibri"/>
              <w:noProof/>
              <w:sz w:val="18"/>
              <w:szCs w:val="18"/>
            </w:rPr>
            <w:t>3</w:t>
          </w:r>
          <w:r w:rsidRPr="005B3831">
            <w:rPr>
              <w:rStyle w:val="PageNumber"/>
              <w:rFonts w:ascii="Calibri" w:hAnsi="Calibri" w:cs="Calibri"/>
              <w:sz w:val="18"/>
              <w:szCs w:val="18"/>
            </w:rPr>
            <w:fldChar w:fldCharType="end"/>
          </w:r>
        </w:p>
      </w:tc>
    </w:tr>
    <w:tr w:rsidR="007E6971" w14:paraId="2CCD8148" w14:textId="77777777" w:rsidTr="004F626A">
      <w:trPr>
        <w:trHeight w:val="456"/>
        <w:jc w:val="center"/>
      </w:trPr>
      <w:tc>
        <w:tcPr>
          <w:tcW w:w="5529" w:type="dxa"/>
        </w:tcPr>
        <w:p w14:paraId="70A6CD06" w14:textId="77777777" w:rsidR="007E6971" w:rsidRPr="005B3831" w:rsidRDefault="007E6971">
          <w:pPr>
            <w:pStyle w:val="Footer"/>
            <w:rPr>
              <w:rFonts w:ascii="Calibri" w:hAnsi="Calibri" w:cs="Calibri"/>
              <w:b/>
              <w:bCs/>
              <w:sz w:val="18"/>
              <w:szCs w:val="18"/>
            </w:rPr>
          </w:pPr>
          <w:r w:rsidRPr="005B3831">
            <w:rPr>
              <w:rFonts w:ascii="Calibri" w:hAnsi="Calibri" w:cs="Calibri"/>
              <w:b/>
              <w:bCs/>
              <w:sz w:val="18"/>
              <w:szCs w:val="18"/>
            </w:rPr>
            <w:t>Manual Name:</w:t>
          </w:r>
        </w:p>
        <w:p w14:paraId="4A1451BF" w14:textId="77777777" w:rsidR="007E6971" w:rsidRPr="005B3831" w:rsidRDefault="007E6971">
          <w:pPr>
            <w:pStyle w:val="Footer"/>
            <w:rPr>
              <w:rFonts w:ascii="Calibri" w:hAnsi="Calibri" w:cs="Calibri"/>
              <w:sz w:val="18"/>
              <w:szCs w:val="18"/>
            </w:rPr>
          </w:pPr>
          <w:r w:rsidRPr="005B3831">
            <w:rPr>
              <w:rFonts w:ascii="Calibri" w:hAnsi="Calibri" w:cs="Calibri"/>
              <w:sz w:val="18"/>
              <w:szCs w:val="18"/>
            </w:rPr>
            <w:t>ORGANISATIONAL MANUAL</w:t>
          </w:r>
        </w:p>
      </w:tc>
      <w:tc>
        <w:tcPr>
          <w:tcW w:w="1842" w:type="dxa"/>
        </w:tcPr>
        <w:p w14:paraId="0890DBE4" w14:textId="77777777" w:rsidR="007E6971" w:rsidRPr="005B3831" w:rsidRDefault="007E6971">
          <w:pPr>
            <w:pStyle w:val="Footer"/>
            <w:rPr>
              <w:rFonts w:ascii="Calibri" w:hAnsi="Calibri" w:cs="Calibri"/>
              <w:b/>
              <w:sz w:val="18"/>
              <w:szCs w:val="18"/>
            </w:rPr>
          </w:pPr>
          <w:r w:rsidRPr="005B3831">
            <w:rPr>
              <w:rFonts w:ascii="Calibri" w:hAnsi="Calibri" w:cs="Calibri"/>
              <w:b/>
              <w:sz w:val="18"/>
              <w:szCs w:val="18"/>
            </w:rPr>
            <w:t>Policy Number:</w:t>
          </w:r>
        </w:p>
        <w:p w14:paraId="38506297" w14:textId="77777777" w:rsidR="007E6971" w:rsidRPr="005B3831" w:rsidRDefault="007E6971">
          <w:pPr>
            <w:pStyle w:val="Footer"/>
            <w:rPr>
              <w:rFonts w:ascii="Calibri" w:hAnsi="Calibri" w:cs="Calibri"/>
              <w:bCs/>
              <w:sz w:val="18"/>
              <w:szCs w:val="18"/>
            </w:rPr>
          </w:pPr>
          <w:r w:rsidRPr="005B3831">
            <w:rPr>
              <w:rFonts w:ascii="Calibri" w:hAnsi="Calibri" w:cs="Calibri"/>
              <w:bCs/>
              <w:sz w:val="18"/>
              <w:szCs w:val="18"/>
            </w:rPr>
            <w:t>OM-CO-0006</w:t>
          </w:r>
        </w:p>
      </w:tc>
      <w:tc>
        <w:tcPr>
          <w:tcW w:w="1418" w:type="dxa"/>
        </w:tcPr>
        <w:p w14:paraId="7EE30D7F" w14:textId="77777777" w:rsidR="007E6971" w:rsidRPr="005B3831" w:rsidRDefault="007E6971">
          <w:pPr>
            <w:pStyle w:val="Footer"/>
            <w:rPr>
              <w:rFonts w:ascii="Calibri" w:hAnsi="Calibri" w:cs="Calibri"/>
              <w:b/>
              <w:sz w:val="18"/>
              <w:szCs w:val="18"/>
            </w:rPr>
          </w:pPr>
          <w:r w:rsidRPr="005B3831">
            <w:rPr>
              <w:rFonts w:ascii="Calibri" w:hAnsi="Calibri" w:cs="Calibri"/>
              <w:b/>
              <w:sz w:val="18"/>
              <w:szCs w:val="18"/>
            </w:rPr>
            <w:t>Replaces:</w:t>
          </w:r>
        </w:p>
        <w:p w14:paraId="6789CEC0" w14:textId="2E651469" w:rsidR="007E6971" w:rsidRPr="005B3831" w:rsidRDefault="007E6971" w:rsidP="004B0B6F">
          <w:pPr>
            <w:pStyle w:val="Footer"/>
            <w:rPr>
              <w:rFonts w:ascii="Calibri" w:hAnsi="Calibri" w:cs="Calibri"/>
              <w:sz w:val="18"/>
              <w:szCs w:val="18"/>
            </w:rPr>
          </w:pPr>
          <w:r w:rsidRPr="005B3831">
            <w:rPr>
              <w:rFonts w:ascii="Calibri" w:hAnsi="Calibri" w:cs="Calibri"/>
              <w:bCs/>
              <w:sz w:val="18"/>
              <w:szCs w:val="18"/>
            </w:rPr>
            <w:t xml:space="preserve">Version </w:t>
          </w:r>
          <w:r w:rsidR="00AF1D6D">
            <w:rPr>
              <w:rFonts w:ascii="Calibri" w:hAnsi="Calibri" w:cs="Calibri"/>
              <w:bCs/>
              <w:sz w:val="18"/>
              <w:szCs w:val="18"/>
            </w:rPr>
            <w:t>7</w:t>
          </w:r>
        </w:p>
      </w:tc>
    </w:tr>
  </w:tbl>
  <w:p w14:paraId="62E55F5A" w14:textId="77777777" w:rsidR="007E6971" w:rsidRDefault="007E6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A4E6" w14:textId="77777777" w:rsidR="00727DE7" w:rsidRDefault="00727DE7">
      <w:r>
        <w:separator/>
      </w:r>
    </w:p>
  </w:footnote>
  <w:footnote w:type="continuationSeparator" w:id="0">
    <w:p w14:paraId="18E7089A" w14:textId="77777777" w:rsidR="00727DE7" w:rsidRDefault="0072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00D54"/>
    <w:multiLevelType w:val="hybridMultilevel"/>
    <w:tmpl w:val="273CA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23BC0"/>
    <w:multiLevelType w:val="singleLevel"/>
    <w:tmpl w:val="7B887A5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D35AEF"/>
    <w:multiLevelType w:val="hybridMultilevel"/>
    <w:tmpl w:val="784EA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568EA"/>
    <w:multiLevelType w:val="hybridMultilevel"/>
    <w:tmpl w:val="564C1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C556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9D4834"/>
    <w:multiLevelType w:val="hybridMultilevel"/>
    <w:tmpl w:val="6414C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1330C"/>
    <w:multiLevelType w:val="hybridMultilevel"/>
    <w:tmpl w:val="1E202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F7D31"/>
    <w:multiLevelType w:val="hybridMultilevel"/>
    <w:tmpl w:val="34EA67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783E9A"/>
    <w:multiLevelType w:val="hybridMultilevel"/>
    <w:tmpl w:val="C23E6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B62BE"/>
    <w:multiLevelType w:val="hybridMultilevel"/>
    <w:tmpl w:val="A19E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E2C42"/>
    <w:multiLevelType w:val="hybridMultilevel"/>
    <w:tmpl w:val="FA2AD6AA"/>
    <w:lvl w:ilvl="0" w:tplc="5DF613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2D7954"/>
    <w:multiLevelType w:val="hybridMultilevel"/>
    <w:tmpl w:val="96D60182"/>
    <w:lvl w:ilvl="0" w:tplc="333C0FC6">
      <w:start w:val="1"/>
      <w:numFmt w:val="decimal"/>
      <w:lvlText w:val="%1."/>
      <w:lvlJc w:val="left"/>
      <w:pPr>
        <w:tabs>
          <w:tab w:val="num" w:pos="720"/>
        </w:tabs>
        <w:ind w:left="720" w:hanging="360"/>
      </w:pPr>
    </w:lvl>
    <w:lvl w:ilvl="1" w:tplc="79984868" w:tentative="1">
      <w:start w:val="1"/>
      <w:numFmt w:val="decimal"/>
      <w:lvlText w:val="%2."/>
      <w:lvlJc w:val="left"/>
      <w:pPr>
        <w:tabs>
          <w:tab w:val="num" w:pos="1440"/>
        </w:tabs>
        <w:ind w:left="1440" w:hanging="360"/>
      </w:pPr>
    </w:lvl>
    <w:lvl w:ilvl="2" w:tplc="16D8B0FE" w:tentative="1">
      <w:start w:val="1"/>
      <w:numFmt w:val="decimal"/>
      <w:lvlText w:val="%3."/>
      <w:lvlJc w:val="left"/>
      <w:pPr>
        <w:tabs>
          <w:tab w:val="num" w:pos="2160"/>
        </w:tabs>
        <w:ind w:left="2160" w:hanging="360"/>
      </w:pPr>
    </w:lvl>
    <w:lvl w:ilvl="3" w:tplc="944EE1FA" w:tentative="1">
      <w:start w:val="1"/>
      <w:numFmt w:val="decimal"/>
      <w:lvlText w:val="%4."/>
      <w:lvlJc w:val="left"/>
      <w:pPr>
        <w:tabs>
          <w:tab w:val="num" w:pos="2880"/>
        </w:tabs>
        <w:ind w:left="2880" w:hanging="360"/>
      </w:pPr>
    </w:lvl>
    <w:lvl w:ilvl="4" w:tplc="E46826A6" w:tentative="1">
      <w:start w:val="1"/>
      <w:numFmt w:val="decimal"/>
      <w:lvlText w:val="%5."/>
      <w:lvlJc w:val="left"/>
      <w:pPr>
        <w:tabs>
          <w:tab w:val="num" w:pos="3600"/>
        </w:tabs>
        <w:ind w:left="3600" w:hanging="360"/>
      </w:pPr>
    </w:lvl>
    <w:lvl w:ilvl="5" w:tplc="35208616" w:tentative="1">
      <w:start w:val="1"/>
      <w:numFmt w:val="decimal"/>
      <w:lvlText w:val="%6."/>
      <w:lvlJc w:val="left"/>
      <w:pPr>
        <w:tabs>
          <w:tab w:val="num" w:pos="4320"/>
        </w:tabs>
        <w:ind w:left="4320" w:hanging="360"/>
      </w:pPr>
    </w:lvl>
    <w:lvl w:ilvl="6" w:tplc="858CBE18" w:tentative="1">
      <w:start w:val="1"/>
      <w:numFmt w:val="decimal"/>
      <w:lvlText w:val="%7."/>
      <w:lvlJc w:val="left"/>
      <w:pPr>
        <w:tabs>
          <w:tab w:val="num" w:pos="5040"/>
        </w:tabs>
        <w:ind w:left="5040" w:hanging="360"/>
      </w:pPr>
    </w:lvl>
    <w:lvl w:ilvl="7" w:tplc="2728B7D4" w:tentative="1">
      <w:start w:val="1"/>
      <w:numFmt w:val="decimal"/>
      <w:lvlText w:val="%8."/>
      <w:lvlJc w:val="left"/>
      <w:pPr>
        <w:tabs>
          <w:tab w:val="num" w:pos="5760"/>
        </w:tabs>
        <w:ind w:left="5760" w:hanging="360"/>
      </w:pPr>
    </w:lvl>
    <w:lvl w:ilvl="8" w:tplc="B86815D8" w:tentative="1">
      <w:start w:val="1"/>
      <w:numFmt w:val="decimal"/>
      <w:lvlText w:val="%9."/>
      <w:lvlJc w:val="left"/>
      <w:pPr>
        <w:tabs>
          <w:tab w:val="num" w:pos="6480"/>
        </w:tabs>
        <w:ind w:left="6480" w:hanging="360"/>
      </w:pPr>
    </w:lvl>
  </w:abstractNum>
  <w:abstractNum w:abstractNumId="13" w15:restartNumberingAfterBreak="0">
    <w:nsid w:val="36D66486"/>
    <w:multiLevelType w:val="hybridMultilevel"/>
    <w:tmpl w:val="6E320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590781"/>
    <w:multiLevelType w:val="hybridMultilevel"/>
    <w:tmpl w:val="CC9ADE92"/>
    <w:lvl w:ilvl="0" w:tplc="37229C76">
      <w:start w:val="1"/>
      <w:numFmt w:val="decimal"/>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5" w15:restartNumberingAfterBreak="0">
    <w:nsid w:val="40B22CCF"/>
    <w:multiLevelType w:val="hybridMultilevel"/>
    <w:tmpl w:val="6ED08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D51F3"/>
    <w:multiLevelType w:val="hybridMultilevel"/>
    <w:tmpl w:val="2968F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875F0D"/>
    <w:multiLevelType w:val="hybridMultilevel"/>
    <w:tmpl w:val="5D04C4BA"/>
    <w:lvl w:ilvl="0" w:tplc="DAEE5FA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17B3153"/>
    <w:multiLevelType w:val="hybridMultilevel"/>
    <w:tmpl w:val="32AE8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8F2E86"/>
    <w:multiLevelType w:val="hybridMultilevel"/>
    <w:tmpl w:val="F29CF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22A60"/>
    <w:multiLevelType w:val="hybridMultilevel"/>
    <w:tmpl w:val="DC985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C41E70"/>
    <w:multiLevelType w:val="hybridMultilevel"/>
    <w:tmpl w:val="E3C6D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35416B"/>
    <w:multiLevelType w:val="singleLevel"/>
    <w:tmpl w:val="7B887A52"/>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D4427E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57A0968"/>
    <w:multiLevelType w:val="hybridMultilevel"/>
    <w:tmpl w:val="FC4A3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A28F2"/>
    <w:multiLevelType w:val="hybridMultilevel"/>
    <w:tmpl w:val="1CBA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ED63DB"/>
    <w:multiLevelType w:val="hybridMultilevel"/>
    <w:tmpl w:val="418E35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2915FE"/>
    <w:multiLevelType w:val="hybridMultilevel"/>
    <w:tmpl w:val="D78EF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87361D"/>
    <w:multiLevelType w:val="hybridMultilevel"/>
    <w:tmpl w:val="72D6E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2165463">
    <w:abstractNumId w:val="5"/>
  </w:num>
  <w:num w:numId="2" w16cid:durableId="912928972">
    <w:abstractNumId w:val="0"/>
    <w:lvlOverride w:ilvl="0">
      <w:lvl w:ilvl="0">
        <w:start w:val="1"/>
        <w:numFmt w:val="bullet"/>
        <w:lvlText w:val=""/>
        <w:legacy w:legacy="1" w:legacySpace="0" w:legacyIndent="360"/>
        <w:lvlJc w:val="left"/>
        <w:pPr>
          <w:ind w:left="2487" w:hanging="360"/>
        </w:pPr>
        <w:rPr>
          <w:rFonts w:ascii="Symbol" w:hAnsi="Symbol" w:hint="default"/>
        </w:rPr>
      </w:lvl>
    </w:lvlOverride>
  </w:num>
  <w:num w:numId="3" w16cid:durableId="1877961811">
    <w:abstractNumId w:val="0"/>
    <w:lvlOverride w:ilvl="0">
      <w:lvl w:ilvl="0">
        <w:start w:val="1"/>
        <w:numFmt w:val="bullet"/>
        <w:lvlText w:val=""/>
        <w:legacy w:legacy="1" w:legacySpace="0" w:legacyIndent="360"/>
        <w:lvlJc w:val="left"/>
        <w:pPr>
          <w:ind w:left="2487" w:hanging="360"/>
        </w:pPr>
        <w:rPr>
          <w:rFonts w:ascii="Symbol" w:hAnsi="Symbol" w:hint="default"/>
        </w:rPr>
      </w:lvl>
    </w:lvlOverride>
  </w:num>
  <w:num w:numId="4" w16cid:durableId="1391416528">
    <w:abstractNumId w:val="23"/>
  </w:num>
  <w:num w:numId="5" w16cid:durableId="594552726">
    <w:abstractNumId w:val="2"/>
  </w:num>
  <w:num w:numId="6" w16cid:durableId="380247675">
    <w:abstractNumId w:val="22"/>
  </w:num>
  <w:num w:numId="7" w16cid:durableId="268971461">
    <w:abstractNumId w:val="12"/>
  </w:num>
  <w:num w:numId="8" w16cid:durableId="742796276">
    <w:abstractNumId w:val="7"/>
  </w:num>
  <w:num w:numId="9" w16cid:durableId="1543128841">
    <w:abstractNumId w:val="9"/>
  </w:num>
  <w:num w:numId="10" w16cid:durableId="1821579675">
    <w:abstractNumId w:val="28"/>
  </w:num>
  <w:num w:numId="11" w16cid:durableId="1250238090">
    <w:abstractNumId w:val="6"/>
  </w:num>
  <w:num w:numId="12" w16cid:durableId="1614822206">
    <w:abstractNumId w:val="4"/>
  </w:num>
  <w:num w:numId="13" w16cid:durableId="1555579586">
    <w:abstractNumId w:val="13"/>
  </w:num>
  <w:num w:numId="14" w16cid:durableId="1903370631">
    <w:abstractNumId w:val="19"/>
  </w:num>
  <w:num w:numId="15" w16cid:durableId="1784417809">
    <w:abstractNumId w:val="3"/>
  </w:num>
  <w:num w:numId="16" w16cid:durableId="1841499718">
    <w:abstractNumId w:val="11"/>
  </w:num>
  <w:num w:numId="17" w16cid:durableId="1843741035">
    <w:abstractNumId w:val="1"/>
  </w:num>
  <w:num w:numId="18" w16cid:durableId="1315257143">
    <w:abstractNumId w:val="20"/>
  </w:num>
  <w:num w:numId="19" w16cid:durableId="84810721">
    <w:abstractNumId w:val="8"/>
  </w:num>
  <w:num w:numId="20" w16cid:durableId="650599207">
    <w:abstractNumId w:val="24"/>
  </w:num>
  <w:num w:numId="21" w16cid:durableId="1054348920">
    <w:abstractNumId w:val="18"/>
  </w:num>
  <w:num w:numId="22" w16cid:durableId="250549927">
    <w:abstractNumId w:val="26"/>
  </w:num>
  <w:num w:numId="23" w16cid:durableId="369689764">
    <w:abstractNumId w:val="15"/>
  </w:num>
  <w:num w:numId="24" w16cid:durableId="1468166191">
    <w:abstractNumId w:val="27"/>
  </w:num>
  <w:num w:numId="25" w16cid:durableId="763957706">
    <w:abstractNumId w:val="10"/>
  </w:num>
  <w:num w:numId="26" w16cid:durableId="1776712218">
    <w:abstractNumId w:val="14"/>
  </w:num>
  <w:num w:numId="27" w16cid:durableId="1162310309">
    <w:abstractNumId w:val="17"/>
  </w:num>
  <w:num w:numId="28" w16cid:durableId="702705997">
    <w:abstractNumId w:val="21"/>
  </w:num>
  <w:num w:numId="29" w16cid:durableId="577329167">
    <w:abstractNumId w:val="25"/>
  </w:num>
  <w:num w:numId="30" w16cid:durableId="387805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04"/>
    <w:rsid w:val="0002176E"/>
    <w:rsid w:val="00023EB2"/>
    <w:rsid w:val="00034691"/>
    <w:rsid w:val="000438EC"/>
    <w:rsid w:val="000528E0"/>
    <w:rsid w:val="00062A71"/>
    <w:rsid w:val="000650A7"/>
    <w:rsid w:val="000661F4"/>
    <w:rsid w:val="000776F0"/>
    <w:rsid w:val="00080167"/>
    <w:rsid w:val="000A762A"/>
    <w:rsid w:val="000B7CDB"/>
    <w:rsid w:val="000C51EC"/>
    <w:rsid w:val="000C647E"/>
    <w:rsid w:val="000C7C72"/>
    <w:rsid w:val="00122ECD"/>
    <w:rsid w:val="00151697"/>
    <w:rsid w:val="00154A12"/>
    <w:rsid w:val="00163085"/>
    <w:rsid w:val="001649B8"/>
    <w:rsid w:val="00171B46"/>
    <w:rsid w:val="0017380E"/>
    <w:rsid w:val="001C3332"/>
    <w:rsid w:val="001C4B52"/>
    <w:rsid w:val="001F7EE2"/>
    <w:rsid w:val="002051D8"/>
    <w:rsid w:val="002334A4"/>
    <w:rsid w:val="002514A2"/>
    <w:rsid w:val="00253A84"/>
    <w:rsid w:val="00255657"/>
    <w:rsid w:val="002556A1"/>
    <w:rsid w:val="002628D3"/>
    <w:rsid w:val="00302F4E"/>
    <w:rsid w:val="00347D7E"/>
    <w:rsid w:val="0037675B"/>
    <w:rsid w:val="003B2C0E"/>
    <w:rsid w:val="003C7FD1"/>
    <w:rsid w:val="003E186B"/>
    <w:rsid w:val="003F174E"/>
    <w:rsid w:val="003F63D4"/>
    <w:rsid w:val="00403D6C"/>
    <w:rsid w:val="004065DA"/>
    <w:rsid w:val="00414A58"/>
    <w:rsid w:val="00416BB4"/>
    <w:rsid w:val="004270EF"/>
    <w:rsid w:val="00482D2A"/>
    <w:rsid w:val="004A6B86"/>
    <w:rsid w:val="004B0B6F"/>
    <w:rsid w:val="004B32EA"/>
    <w:rsid w:val="004D2EB3"/>
    <w:rsid w:val="004F626A"/>
    <w:rsid w:val="005250D3"/>
    <w:rsid w:val="00541C1F"/>
    <w:rsid w:val="005704FA"/>
    <w:rsid w:val="005B2DDA"/>
    <w:rsid w:val="005B3831"/>
    <w:rsid w:val="005C4F24"/>
    <w:rsid w:val="005E37D8"/>
    <w:rsid w:val="00610055"/>
    <w:rsid w:val="00636915"/>
    <w:rsid w:val="00645D53"/>
    <w:rsid w:val="006670F4"/>
    <w:rsid w:val="00684190"/>
    <w:rsid w:val="006A58D4"/>
    <w:rsid w:val="006C6E5A"/>
    <w:rsid w:val="006F4005"/>
    <w:rsid w:val="0071797F"/>
    <w:rsid w:val="00727DE7"/>
    <w:rsid w:val="00750492"/>
    <w:rsid w:val="00772F00"/>
    <w:rsid w:val="007838C3"/>
    <w:rsid w:val="007B6FDA"/>
    <w:rsid w:val="007D0EDD"/>
    <w:rsid w:val="007E0875"/>
    <w:rsid w:val="007E6971"/>
    <w:rsid w:val="00805135"/>
    <w:rsid w:val="00821F21"/>
    <w:rsid w:val="00860A61"/>
    <w:rsid w:val="00872B52"/>
    <w:rsid w:val="00874BFF"/>
    <w:rsid w:val="00886D1E"/>
    <w:rsid w:val="00892B06"/>
    <w:rsid w:val="008C4D40"/>
    <w:rsid w:val="008D226E"/>
    <w:rsid w:val="008F0F01"/>
    <w:rsid w:val="00901DC3"/>
    <w:rsid w:val="009067EA"/>
    <w:rsid w:val="00911D50"/>
    <w:rsid w:val="009207C8"/>
    <w:rsid w:val="00924475"/>
    <w:rsid w:val="00950566"/>
    <w:rsid w:val="00985097"/>
    <w:rsid w:val="009A39F3"/>
    <w:rsid w:val="009D0D41"/>
    <w:rsid w:val="009D289F"/>
    <w:rsid w:val="009F4C7B"/>
    <w:rsid w:val="009F4C84"/>
    <w:rsid w:val="00A03FA8"/>
    <w:rsid w:val="00A0413B"/>
    <w:rsid w:val="00A07571"/>
    <w:rsid w:val="00A20E5B"/>
    <w:rsid w:val="00A22CEB"/>
    <w:rsid w:val="00A2471B"/>
    <w:rsid w:val="00A407A6"/>
    <w:rsid w:val="00AA0386"/>
    <w:rsid w:val="00AC7613"/>
    <w:rsid w:val="00AF1D6D"/>
    <w:rsid w:val="00B23BA0"/>
    <w:rsid w:val="00B37382"/>
    <w:rsid w:val="00B54874"/>
    <w:rsid w:val="00B56CDC"/>
    <w:rsid w:val="00B76639"/>
    <w:rsid w:val="00BB1C77"/>
    <w:rsid w:val="00BB70C7"/>
    <w:rsid w:val="00BB77F8"/>
    <w:rsid w:val="00BC37DB"/>
    <w:rsid w:val="00BC7550"/>
    <w:rsid w:val="00BD16B4"/>
    <w:rsid w:val="00BE4DC5"/>
    <w:rsid w:val="00C21718"/>
    <w:rsid w:val="00C419BD"/>
    <w:rsid w:val="00C7002C"/>
    <w:rsid w:val="00C82068"/>
    <w:rsid w:val="00CB377F"/>
    <w:rsid w:val="00CB451B"/>
    <w:rsid w:val="00CD2300"/>
    <w:rsid w:val="00CD49C5"/>
    <w:rsid w:val="00CD5C01"/>
    <w:rsid w:val="00CF0A2F"/>
    <w:rsid w:val="00D635AD"/>
    <w:rsid w:val="00D92E81"/>
    <w:rsid w:val="00D9554B"/>
    <w:rsid w:val="00D95639"/>
    <w:rsid w:val="00DB2A27"/>
    <w:rsid w:val="00DC0CB5"/>
    <w:rsid w:val="00DF6416"/>
    <w:rsid w:val="00E0343E"/>
    <w:rsid w:val="00E051E7"/>
    <w:rsid w:val="00E0575E"/>
    <w:rsid w:val="00E36A34"/>
    <w:rsid w:val="00E830A9"/>
    <w:rsid w:val="00E9504E"/>
    <w:rsid w:val="00EB35B5"/>
    <w:rsid w:val="00EB6B5C"/>
    <w:rsid w:val="00EC011A"/>
    <w:rsid w:val="00ED34F2"/>
    <w:rsid w:val="00ED48E6"/>
    <w:rsid w:val="00EE1869"/>
    <w:rsid w:val="00EE6C75"/>
    <w:rsid w:val="00F0105C"/>
    <w:rsid w:val="00F15AD8"/>
    <w:rsid w:val="00F23A31"/>
    <w:rsid w:val="00F548C1"/>
    <w:rsid w:val="00F56752"/>
    <w:rsid w:val="00F73D5C"/>
    <w:rsid w:val="00F85B89"/>
    <w:rsid w:val="00F93504"/>
    <w:rsid w:val="00FB18AD"/>
    <w:rsid w:val="00FE1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B411848"/>
  <w15:chartTrackingRefBased/>
  <w15:docId w15:val="{C3772330-B441-4B14-8867-7198F852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504"/>
    <w:rPr>
      <w:lang w:val="en-GB" w:eastAsia="en-US"/>
    </w:rPr>
  </w:style>
  <w:style w:type="paragraph" w:styleId="Heading1">
    <w:name w:val="heading 1"/>
    <w:basedOn w:val="Normal"/>
    <w:next w:val="Normal"/>
    <w:qFormat/>
    <w:rsid w:val="00F93504"/>
    <w:pPr>
      <w:keepNext/>
      <w:outlineLvl w:val="0"/>
    </w:pPr>
    <w:rPr>
      <w:b/>
      <w:sz w:val="24"/>
    </w:rPr>
  </w:style>
  <w:style w:type="paragraph" w:styleId="Heading2">
    <w:name w:val="heading 2"/>
    <w:basedOn w:val="Normal"/>
    <w:next w:val="Normal"/>
    <w:qFormat/>
    <w:rsid w:val="00F93504"/>
    <w:pPr>
      <w:keepNext/>
      <w:outlineLvl w:val="1"/>
    </w:pPr>
    <w:rPr>
      <w:b/>
      <w:i/>
      <w:sz w:val="24"/>
    </w:rPr>
  </w:style>
  <w:style w:type="paragraph" w:styleId="Heading3">
    <w:name w:val="heading 3"/>
    <w:basedOn w:val="Normal"/>
    <w:next w:val="Normal"/>
    <w:qFormat/>
    <w:rsid w:val="00F93504"/>
    <w:pPr>
      <w:keepNext/>
      <w:jc w:val="center"/>
      <w:outlineLvl w:val="2"/>
    </w:pPr>
    <w:rPr>
      <w:sz w:val="24"/>
    </w:rPr>
  </w:style>
  <w:style w:type="paragraph" w:styleId="Heading4">
    <w:name w:val="heading 4"/>
    <w:basedOn w:val="Normal"/>
    <w:next w:val="Normal"/>
    <w:qFormat/>
    <w:rsid w:val="00F93504"/>
    <w:pPr>
      <w:keepNext/>
      <w:jc w:val="center"/>
      <w:outlineLvl w:val="3"/>
    </w:pPr>
    <w:rPr>
      <w:b/>
      <w:sz w:val="24"/>
    </w:rPr>
  </w:style>
  <w:style w:type="paragraph" w:styleId="Heading5">
    <w:name w:val="heading 5"/>
    <w:basedOn w:val="Normal"/>
    <w:next w:val="Normal"/>
    <w:qFormat/>
    <w:rsid w:val="00F93504"/>
    <w:pPr>
      <w:keepNext/>
      <w:outlineLvl w:val="4"/>
    </w:pPr>
    <w:rPr>
      <w:b/>
    </w:rPr>
  </w:style>
  <w:style w:type="paragraph" w:styleId="Heading6">
    <w:name w:val="heading 6"/>
    <w:basedOn w:val="Normal"/>
    <w:next w:val="Normal"/>
    <w:qFormat/>
    <w:rsid w:val="00F93504"/>
    <w:pPr>
      <w:keepNext/>
      <w:jc w:val="both"/>
      <w:outlineLvl w:val="5"/>
    </w:pPr>
    <w:rPr>
      <w:rFonts w:ascii="Arial" w:hAnsi="Arial" w:cs="Arial"/>
      <w:b/>
      <w:bCs/>
      <w:i/>
      <w:iCs/>
      <w:sz w:val="22"/>
    </w:rPr>
  </w:style>
  <w:style w:type="paragraph" w:styleId="Heading7">
    <w:name w:val="heading 7"/>
    <w:basedOn w:val="Normal"/>
    <w:next w:val="Normal"/>
    <w:qFormat/>
    <w:rsid w:val="00F93504"/>
    <w:pPr>
      <w:keepNext/>
      <w:jc w:val="both"/>
      <w:outlineLvl w:val="6"/>
    </w:pPr>
    <w:rPr>
      <w:rFonts w:ascii="Arial" w:hAnsi="Arial" w:cs="Arial"/>
      <w:b/>
      <w:sz w:val="22"/>
      <w:u w:val="single"/>
    </w:rPr>
  </w:style>
  <w:style w:type="paragraph" w:styleId="Heading8">
    <w:name w:val="heading 8"/>
    <w:basedOn w:val="Normal"/>
    <w:next w:val="Normal"/>
    <w:link w:val="Heading8Char"/>
    <w:unhideWhenUsed/>
    <w:qFormat/>
    <w:rsid w:val="00860A6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3504"/>
    <w:pPr>
      <w:tabs>
        <w:tab w:val="center" w:pos="4153"/>
        <w:tab w:val="right" w:pos="8306"/>
      </w:tabs>
    </w:pPr>
  </w:style>
  <w:style w:type="paragraph" w:styleId="Footer">
    <w:name w:val="footer"/>
    <w:basedOn w:val="Normal"/>
    <w:link w:val="FooterChar"/>
    <w:semiHidden/>
    <w:rsid w:val="00F93504"/>
    <w:pPr>
      <w:tabs>
        <w:tab w:val="center" w:pos="4153"/>
        <w:tab w:val="right" w:pos="8306"/>
      </w:tabs>
    </w:pPr>
  </w:style>
  <w:style w:type="character" w:styleId="PageNumber">
    <w:name w:val="page number"/>
    <w:basedOn w:val="DefaultParagraphFont"/>
    <w:semiHidden/>
    <w:rsid w:val="00F93504"/>
  </w:style>
  <w:style w:type="paragraph" w:customStyle="1" w:styleId="indentpara3">
    <w:name w:val="indentpara3"/>
    <w:basedOn w:val="Normal"/>
    <w:next w:val="Normal"/>
    <w:rsid w:val="00F93504"/>
    <w:pPr>
      <w:ind w:left="1418"/>
      <w:jc w:val="both"/>
    </w:pPr>
    <w:rPr>
      <w:rFonts w:ascii="Arial" w:hAnsi="Arial"/>
      <w:noProof/>
      <w:sz w:val="24"/>
    </w:rPr>
  </w:style>
  <w:style w:type="paragraph" w:styleId="BodyText">
    <w:name w:val="Body Text"/>
    <w:basedOn w:val="Normal"/>
    <w:semiHidden/>
    <w:rsid w:val="00F93504"/>
    <w:rPr>
      <w:b/>
      <w:sz w:val="24"/>
    </w:rPr>
  </w:style>
  <w:style w:type="paragraph" w:styleId="BodyText2">
    <w:name w:val="Body Text 2"/>
    <w:basedOn w:val="Normal"/>
    <w:semiHidden/>
    <w:rsid w:val="00F93504"/>
    <w:rPr>
      <w:sz w:val="24"/>
    </w:rPr>
  </w:style>
  <w:style w:type="paragraph" w:styleId="NormalWeb">
    <w:name w:val="Normal (Web)"/>
    <w:basedOn w:val="Normal"/>
    <w:semiHidden/>
    <w:rsid w:val="00F93504"/>
    <w:pPr>
      <w:spacing w:before="100" w:beforeAutospacing="1" w:after="100" w:afterAutospacing="1"/>
    </w:pPr>
    <w:rPr>
      <w:color w:val="000000"/>
      <w:sz w:val="24"/>
      <w:szCs w:val="24"/>
      <w:lang w:val="en-US"/>
    </w:rPr>
  </w:style>
  <w:style w:type="paragraph" w:styleId="BodyText3">
    <w:name w:val="Body Text 3"/>
    <w:basedOn w:val="Normal"/>
    <w:semiHidden/>
    <w:rsid w:val="00F93504"/>
    <w:pPr>
      <w:jc w:val="both"/>
    </w:pPr>
    <w:rPr>
      <w:bCs/>
      <w:sz w:val="24"/>
    </w:rPr>
  </w:style>
  <w:style w:type="paragraph" w:styleId="DocumentMap">
    <w:name w:val="Document Map"/>
    <w:basedOn w:val="Normal"/>
    <w:semiHidden/>
    <w:rsid w:val="00B54874"/>
    <w:pPr>
      <w:shd w:val="clear" w:color="auto" w:fill="000080"/>
    </w:pPr>
    <w:rPr>
      <w:rFonts w:ascii="Tahoma" w:hAnsi="Tahoma" w:cs="Tahoma"/>
    </w:rPr>
  </w:style>
  <w:style w:type="table" w:styleId="TableGrid">
    <w:name w:val="Table Grid"/>
    <w:basedOn w:val="TableNormal"/>
    <w:rsid w:val="00783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4B52"/>
    <w:rPr>
      <w:rFonts w:ascii="Tahoma" w:hAnsi="Tahoma" w:cs="Tahoma"/>
      <w:sz w:val="16"/>
      <w:szCs w:val="16"/>
    </w:rPr>
  </w:style>
  <w:style w:type="character" w:customStyle="1" w:styleId="BalloonTextChar">
    <w:name w:val="Balloon Text Char"/>
    <w:link w:val="BalloonText"/>
    <w:rsid w:val="001C4B52"/>
    <w:rPr>
      <w:rFonts w:ascii="Tahoma" w:hAnsi="Tahoma" w:cs="Tahoma"/>
      <w:sz w:val="16"/>
      <w:szCs w:val="16"/>
      <w:lang w:val="en-GB"/>
    </w:rPr>
  </w:style>
  <w:style w:type="paragraph" w:styleId="Revision">
    <w:name w:val="Revision"/>
    <w:hidden/>
    <w:uiPriority w:val="99"/>
    <w:semiHidden/>
    <w:rsid w:val="00A20E5B"/>
    <w:rPr>
      <w:lang w:val="en-GB" w:eastAsia="en-US"/>
    </w:rPr>
  </w:style>
  <w:style w:type="character" w:styleId="CommentReference">
    <w:name w:val="annotation reference"/>
    <w:rsid w:val="00F548C1"/>
    <w:rPr>
      <w:sz w:val="16"/>
      <w:szCs w:val="16"/>
    </w:rPr>
  </w:style>
  <w:style w:type="paragraph" w:styleId="CommentText">
    <w:name w:val="annotation text"/>
    <w:basedOn w:val="Normal"/>
    <w:link w:val="CommentTextChar"/>
    <w:rsid w:val="00F548C1"/>
  </w:style>
  <w:style w:type="character" w:customStyle="1" w:styleId="CommentTextChar">
    <w:name w:val="Comment Text Char"/>
    <w:link w:val="CommentText"/>
    <w:rsid w:val="00F548C1"/>
    <w:rPr>
      <w:lang w:val="en-GB" w:eastAsia="en-US"/>
    </w:rPr>
  </w:style>
  <w:style w:type="paragraph" w:styleId="CommentSubject">
    <w:name w:val="annotation subject"/>
    <w:basedOn w:val="CommentText"/>
    <w:next w:val="CommentText"/>
    <w:link w:val="CommentSubjectChar"/>
    <w:rsid w:val="00F548C1"/>
    <w:rPr>
      <w:b/>
      <w:bCs/>
    </w:rPr>
  </w:style>
  <w:style w:type="character" w:customStyle="1" w:styleId="CommentSubjectChar">
    <w:name w:val="Comment Subject Char"/>
    <w:link w:val="CommentSubject"/>
    <w:rsid w:val="00F548C1"/>
    <w:rPr>
      <w:b/>
      <w:bCs/>
      <w:lang w:val="en-GB" w:eastAsia="en-US"/>
    </w:rPr>
  </w:style>
  <w:style w:type="character" w:customStyle="1" w:styleId="FooterChar">
    <w:name w:val="Footer Char"/>
    <w:link w:val="Footer"/>
    <w:semiHidden/>
    <w:rsid w:val="00EE6C75"/>
    <w:rPr>
      <w:lang w:val="en-GB" w:eastAsia="en-US"/>
    </w:rPr>
  </w:style>
  <w:style w:type="character" w:customStyle="1" w:styleId="Heading8Char">
    <w:name w:val="Heading 8 Char"/>
    <w:basedOn w:val="DefaultParagraphFont"/>
    <w:link w:val="Heading8"/>
    <w:rsid w:val="00860A61"/>
    <w:rPr>
      <w:rFonts w:asciiTheme="majorHAnsi" w:eastAsiaTheme="majorEastAsia" w:hAnsiTheme="majorHAnsi" w:cstheme="majorBidi"/>
      <w:color w:val="272727" w:themeColor="text1" w:themeTint="D8"/>
      <w:sz w:val="21"/>
      <w:szCs w:val="21"/>
      <w:lang w:val="en-GB" w:eastAsia="en-US"/>
    </w:rPr>
  </w:style>
  <w:style w:type="paragraph" w:styleId="ListParagraph">
    <w:name w:val="List Paragraph"/>
    <w:basedOn w:val="Normal"/>
    <w:uiPriority w:val="34"/>
    <w:qFormat/>
    <w:rsid w:val="00A04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8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policies\word%20format%20issed%20policies\leadership%20and%20management\0001%20development%20and%20approval%20guide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20DDB-2E8F-4BA9-BA63-57C266D6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0001 development and approval guidelines</Template>
  <TotalTime>1</TotalTime>
  <Pages>2</Pages>
  <Words>511</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St. John of God Hospital</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Kevin &amp; Marie</dc:creator>
  <cp:keywords/>
  <cp:lastModifiedBy>Jenni Oliver</cp:lastModifiedBy>
  <cp:revision>3</cp:revision>
  <cp:lastPrinted>2018-03-06T03:14:00Z</cp:lastPrinted>
  <dcterms:created xsi:type="dcterms:W3CDTF">2025-02-05T21:55:00Z</dcterms:created>
  <dcterms:modified xsi:type="dcterms:W3CDTF">2025-02-05T21:56:00Z</dcterms:modified>
</cp:coreProperties>
</file>